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pPr>
      <w:bookmarkStart w:id="715" w:name="_GoBack"/>
      <w:bookmarkEnd w:id="715"/>
      <w:r>
        <w:rPr>
          <w:rFonts w:hint="eastAsia" w:asciiTheme="minorEastAsia" w:hAnsiTheme="minorEastAsia" w:eastAsiaTheme="minorEastAsia" w:cstheme="minorEastAsia"/>
          <w:b/>
          <w:bCs/>
          <w:sz w:val="32"/>
          <w:szCs w:val="32"/>
        </w:rPr>
        <w:t>信贷业务类</w:t>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eastAsia" w:cs="黑体" w:asciiTheme="majorEastAsia" w:hAnsiTheme="majorEastAsia" w:eastAsiaTheme="majorEastAsia"/>
          <w:b/>
          <w:bCs/>
          <w:sz w:val="32"/>
          <w:szCs w:val="32"/>
        </w:rPr>
      </w:pPr>
      <w:r>
        <w:rPr>
          <w:rFonts w:hint="eastAsia" w:cs="黑体" w:asciiTheme="majorEastAsia" w:hAnsiTheme="majorEastAsia" w:eastAsiaTheme="majorEastAsia"/>
          <w:b/>
          <w:bCs/>
          <w:sz w:val="32"/>
          <w:szCs w:val="32"/>
        </w:rPr>
        <w:t>法律法规</w:t>
      </w:r>
    </w:p>
    <w:sdt>
      <w:sdtPr>
        <w:rPr>
          <w:rFonts w:ascii="宋体" w:hAnsi="宋体" w:eastAsia="宋体" w:cs="Times New Roman"/>
          <w:sz w:val="21"/>
          <w:szCs w:val="24"/>
          <w:lang w:val="en-US" w:eastAsia="zh-CN" w:bidi="ar-SA"/>
        </w:rPr>
        <w:id w:val="147456492"/>
        <w15:color w:val="DBDBDB"/>
        <w:docPartObj>
          <w:docPartGallery w:val="Table of Contents"/>
          <w:docPartUnique/>
        </w:docPartObj>
      </w:sdtPr>
      <w:sdtEndPr>
        <w:rPr>
          <w:rFonts w:ascii="宋体" w:hAnsi="宋体" w:eastAsia="宋体" w:cs="Times New Roman"/>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1"/>
            <w:tabs>
              <w:tab w:val="right" w:leader="dot" w:pos="8306"/>
            </w:tabs>
          </w:pPr>
          <w:r>
            <w:fldChar w:fldCharType="begin"/>
          </w:r>
          <w:r>
            <w:instrText xml:space="preserve">TOC \o "1-1" \h \u </w:instrText>
          </w:r>
          <w:r>
            <w:fldChar w:fldCharType="separate"/>
          </w:r>
          <w:r>
            <w:fldChar w:fldCharType="begin"/>
          </w:r>
          <w:r>
            <w:instrText xml:space="preserve"> HYPERLINK \l _Toc24504 </w:instrText>
          </w:r>
          <w:r>
            <w:fldChar w:fldCharType="separate"/>
          </w:r>
          <w:r>
            <w:rPr>
              <w:rFonts w:cs="宋体" w:asciiTheme="majorEastAsia" w:hAnsiTheme="majorEastAsia" w:eastAsiaTheme="majorEastAsia"/>
              <w:bCs/>
              <w:szCs w:val="24"/>
              <w:lang w:val="en-US" w:eastAsia="zh-CN" w:bidi="ar-SA"/>
            </w:rPr>
            <w:t>1.</w:t>
          </w:r>
          <w:r>
            <w:rPr>
              <w:rFonts w:hint="eastAsia"/>
            </w:rPr>
            <w:t>《中华人民共和国票据法（2004修正）》</w:t>
          </w:r>
          <w:r>
            <w:tab/>
          </w:r>
          <w:r>
            <w:fldChar w:fldCharType="begin"/>
          </w:r>
          <w:r>
            <w:instrText xml:space="preserve"> PAGEREF _Toc24504 \h </w:instrText>
          </w:r>
          <w:r>
            <w:fldChar w:fldCharType="separate"/>
          </w:r>
          <w:r>
            <w:t>12</w:t>
          </w:r>
          <w:r>
            <w:fldChar w:fldCharType="end"/>
          </w:r>
          <w:r>
            <w:fldChar w:fldCharType="end"/>
          </w:r>
        </w:p>
        <w:p>
          <w:pPr>
            <w:pStyle w:val="11"/>
            <w:tabs>
              <w:tab w:val="right" w:leader="dot" w:pos="8306"/>
            </w:tabs>
          </w:pPr>
          <w:r>
            <w:fldChar w:fldCharType="begin"/>
          </w:r>
          <w:r>
            <w:instrText xml:space="preserve"> HYPERLINK \l _Toc13427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_Toc13427 \h </w:instrText>
          </w:r>
          <w:r>
            <w:fldChar w:fldCharType="separate"/>
          </w:r>
          <w:r>
            <w:t>12</w:t>
          </w:r>
          <w:r>
            <w:fldChar w:fldCharType="end"/>
          </w:r>
          <w:r>
            <w:fldChar w:fldCharType="end"/>
          </w:r>
        </w:p>
        <w:p>
          <w:pPr>
            <w:pStyle w:val="11"/>
            <w:tabs>
              <w:tab w:val="right" w:leader="dot" w:pos="8306"/>
            </w:tabs>
          </w:pPr>
          <w:r>
            <w:fldChar w:fldCharType="begin"/>
          </w:r>
          <w:r>
            <w:instrText xml:space="preserve"> HYPERLINK \l _Toc10897 </w:instrText>
          </w:r>
          <w:r>
            <w:fldChar w:fldCharType="separate"/>
          </w:r>
          <w:r>
            <w:rPr>
              <w:rFonts w:hint="eastAsia" w:cs="宋体" w:asciiTheme="majorEastAsia" w:hAnsiTheme="majorEastAsia" w:eastAsiaTheme="majorEastAsia"/>
              <w:bCs/>
            </w:rPr>
            <w:t>第二章汇票</w:t>
          </w:r>
          <w:r>
            <w:tab/>
          </w:r>
          <w:r>
            <w:fldChar w:fldCharType="begin"/>
          </w:r>
          <w:r>
            <w:instrText xml:space="preserve"> PAGEREF _Toc10897 \h </w:instrText>
          </w:r>
          <w:r>
            <w:fldChar w:fldCharType="separate"/>
          </w:r>
          <w:r>
            <w:t>15</w:t>
          </w:r>
          <w:r>
            <w:fldChar w:fldCharType="end"/>
          </w:r>
          <w:r>
            <w:fldChar w:fldCharType="end"/>
          </w:r>
        </w:p>
        <w:p>
          <w:pPr>
            <w:pStyle w:val="11"/>
            <w:tabs>
              <w:tab w:val="right" w:leader="dot" w:pos="8306"/>
            </w:tabs>
          </w:pPr>
          <w:r>
            <w:fldChar w:fldCharType="begin"/>
          </w:r>
          <w:r>
            <w:instrText xml:space="preserve"> HYPERLINK \l _Toc1718 </w:instrText>
          </w:r>
          <w:r>
            <w:fldChar w:fldCharType="separate"/>
          </w:r>
          <w:r>
            <w:rPr>
              <w:rFonts w:hint="eastAsia" w:cs="宋体" w:asciiTheme="majorEastAsia" w:hAnsiTheme="majorEastAsia" w:eastAsiaTheme="majorEastAsia"/>
              <w:bCs/>
            </w:rPr>
            <w:t>第三章本票</w:t>
          </w:r>
          <w:r>
            <w:tab/>
          </w:r>
          <w:r>
            <w:fldChar w:fldCharType="begin"/>
          </w:r>
          <w:r>
            <w:instrText xml:space="preserve"> PAGEREF _Toc1718 \h </w:instrText>
          </w:r>
          <w:r>
            <w:fldChar w:fldCharType="separate"/>
          </w:r>
          <w:r>
            <w:t>23</w:t>
          </w:r>
          <w:r>
            <w:fldChar w:fldCharType="end"/>
          </w:r>
          <w:r>
            <w:fldChar w:fldCharType="end"/>
          </w:r>
        </w:p>
        <w:p>
          <w:pPr>
            <w:pStyle w:val="11"/>
            <w:tabs>
              <w:tab w:val="right" w:leader="dot" w:pos="8306"/>
            </w:tabs>
          </w:pPr>
          <w:r>
            <w:fldChar w:fldCharType="begin"/>
          </w:r>
          <w:r>
            <w:instrText xml:space="preserve"> HYPERLINK \l _Toc9337 </w:instrText>
          </w:r>
          <w:r>
            <w:fldChar w:fldCharType="separate"/>
          </w:r>
          <w:r>
            <w:rPr>
              <w:rFonts w:hint="eastAsia" w:cs="宋体" w:asciiTheme="majorEastAsia" w:hAnsiTheme="majorEastAsia" w:eastAsiaTheme="majorEastAsia"/>
              <w:bCs/>
            </w:rPr>
            <w:t>第四章支票</w:t>
          </w:r>
          <w:r>
            <w:tab/>
          </w:r>
          <w:r>
            <w:fldChar w:fldCharType="begin"/>
          </w:r>
          <w:r>
            <w:instrText xml:space="preserve"> PAGEREF _Toc9337 \h </w:instrText>
          </w:r>
          <w:r>
            <w:fldChar w:fldCharType="separate"/>
          </w:r>
          <w:r>
            <w:t>24</w:t>
          </w:r>
          <w:r>
            <w:fldChar w:fldCharType="end"/>
          </w:r>
          <w:r>
            <w:fldChar w:fldCharType="end"/>
          </w:r>
        </w:p>
        <w:p>
          <w:pPr>
            <w:pStyle w:val="11"/>
            <w:tabs>
              <w:tab w:val="right" w:leader="dot" w:pos="8306"/>
            </w:tabs>
          </w:pPr>
          <w:r>
            <w:fldChar w:fldCharType="begin"/>
          </w:r>
          <w:r>
            <w:instrText xml:space="preserve"> HYPERLINK \l _Toc11148 </w:instrText>
          </w:r>
          <w:r>
            <w:fldChar w:fldCharType="separate"/>
          </w:r>
          <w:r>
            <w:rPr>
              <w:rFonts w:hint="eastAsia" w:cs="宋体" w:asciiTheme="majorEastAsia" w:hAnsiTheme="majorEastAsia" w:eastAsiaTheme="majorEastAsia"/>
              <w:bCs/>
            </w:rPr>
            <w:t>第五章涉外票据的法律适用</w:t>
          </w:r>
          <w:r>
            <w:tab/>
          </w:r>
          <w:r>
            <w:fldChar w:fldCharType="begin"/>
          </w:r>
          <w:r>
            <w:instrText xml:space="preserve"> PAGEREF _Toc11148 \h </w:instrText>
          </w:r>
          <w:r>
            <w:fldChar w:fldCharType="separate"/>
          </w:r>
          <w:r>
            <w:t>26</w:t>
          </w:r>
          <w:r>
            <w:fldChar w:fldCharType="end"/>
          </w:r>
          <w:r>
            <w:fldChar w:fldCharType="end"/>
          </w:r>
        </w:p>
        <w:p>
          <w:pPr>
            <w:pStyle w:val="11"/>
            <w:tabs>
              <w:tab w:val="right" w:leader="dot" w:pos="8306"/>
            </w:tabs>
          </w:pPr>
          <w:r>
            <w:fldChar w:fldCharType="begin"/>
          </w:r>
          <w:r>
            <w:instrText xml:space="preserve"> HYPERLINK \l _Toc20589 </w:instrText>
          </w:r>
          <w:r>
            <w:fldChar w:fldCharType="separate"/>
          </w:r>
          <w:r>
            <w:rPr>
              <w:rFonts w:hint="eastAsia" w:cs="宋体" w:asciiTheme="majorEastAsia" w:hAnsiTheme="majorEastAsia" w:eastAsiaTheme="majorEastAsia"/>
              <w:bCs/>
            </w:rPr>
            <w:t>第六章法律责任</w:t>
          </w:r>
          <w:r>
            <w:tab/>
          </w:r>
          <w:r>
            <w:fldChar w:fldCharType="begin"/>
          </w:r>
          <w:r>
            <w:instrText xml:space="preserve"> PAGEREF _Toc20589 \h </w:instrText>
          </w:r>
          <w:r>
            <w:fldChar w:fldCharType="separate"/>
          </w:r>
          <w:r>
            <w:t>27</w:t>
          </w:r>
          <w:r>
            <w:fldChar w:fldCharType="end"/>
          </w:r>
          <w:r>
            <w:fldChar w:fldCharType="end"/>
          </w:r>
        </w:p>
        <w:p>
          <w:pPr>
            <w:pStyle w:val="11"/>
            <w:tabs>
              <w:tab w:val="right" w:leader="dot" w:pos="8306"/>
            </w:tabs>
          </w:pPr>
          <w:r>
            <w:fldChar w:fldCharType="begin"/>
          </w:r>
          <w:r>
            <w:instrText xml:space="preserve"> HYPERLINK \l _Toc25071 </w:instrText>
          </w:r>
          <w:r>
            <w:fldChar w:fldCharType="separate"/>
          </w:r>
          <w:r>
            <w:rPr>
              <w:rFonts w:hint="eastAsia" w:cs="宋体" w:asciiTheme="majorEastAsia" w:hAnsiTheme="majorEastAsia" w:eastAsiaTheme="majorEastAsia"/>
              <w:bCs/>
            </w:rPr>
            <w:t>第七章附则</w:t>
          </w:r>
          <w:r>
            <w:tab/>
          </w:r>
          <w:r>
            <w:fldChar w:fldCharType="begin"/>
          </w:r>
          <w:r>
            <w:instrText xml:space="preserve"> PAGEREF _Toc25071 \h </w:instrText>
          </w:r>
          <w:r>
            <w:fldChar w:fldCharType="separate"/>
          </w:r>
          <w:r>
            <w:t>28</w:t>
          </w:r>
          <w:r>
            <w:fldChar w:fldCharType="end"/>
          </w:r>
          <w:r>
            <w:fldChar w:fldCharType="end"/>
          </w:r>
        </w:p>
        <w:p>
          <w:pPr>
            <w:pStyle w:val="11"/>
            <w:tabs>
              <w:tab w:val="right" w:leader="dot" w:pos="8306"/>
            </w:tabs>
          </w:pPr>
          <w:r>
            <w:fldChar w:fldCharType="begin"/>
          </w:r>
          <w:r>
            <w:instrText xml:space="preserve"> HYPERLINK \l _Toc25000 </w:instrText>
          </w:r>
          <w:r>
            <w:fldChar w:fldCharType="separate"/>
          </w:r>
          <w:r>
            <w:rPr>
              <w:rFonts w:cs="宋体" w:asciiTheme="majorEastAsia" w:hAnsiTheme="majorEastAsia" w:eastAsiaTheme="majorEastAsia"/>
              <w:bCs/>
              <w:szCs w:val="24"/>
              <w:lang w:val="en-US" w:eastAsia="zh-CN" w:bidi="ar-SA"/>
            </w:rPr>
            <w:t>2.</w:t>
          </w:r>
          <w:r>
            <w:rPr>
              <w:rFonts w:hint="eastAsia"/>
            </w:rPr>
            <w:t>《中华人民共和国中小企业促进法(2017修订)》</w:t>
          </w:r>
          <w:r>
            <w:tab/>
          </w:r>
          <w:r>
            <w:fldChar w:fldCharType="begin"/>
          </w:r>
          <w:r>
            <w:instrText xml:space="preserve"> PAGEREF _Toc25000 \h </w:instrText>
          </w:r>
          <w:r>
            <w:fldChar w:fldCharType="separate"/>
          </w:r>
          <w:r>
            <w:t>29</w:t>
          </w:r>
          <w:r>
            <w:fldChar w:fldCharType="end"/>
          </w:r>
          <w:r>
            <w:fldChar w:fldCharType="end"/>
          </w:r>
        </w:p>
        <w:p>
          <w:pPr>
            <w:pStyle w:val="11"/>
            <w:tabs>
              <w:tab w:val="right" w:leader="dot" w:pos="8306"/>
            </w:tabs>
          </w:pPr>
          <w:r>
            <w:fldChar w:fldCharType="begin"/>
          </w:r>
          <w:r>
            <w:instrText xml:space="preserve"> HYPERLINK \l _Toc26542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_Toc26542 \h </w:instrText>
          </w:r>
          <w:r>
            <w:fldChar w:fldCharType="separate"/>
          </w:r>
          <w:r>
            <w:t>29</w:t>
          </w:r>
          <w:r>
            <w:fldChar w:fldCharType="end"/>
          </w:r>
          <w:r>
            <w:fldChar w:fldCharType="end"/>
          </w:r>
        </w:p>
        <w:p>
          <w:pPr>
            <w:pStyle w:val="11"/>
            <w:tabs>
              <w:tab w:val="right" w:leader="dot" w:pos="8306"/>
            </w:tabs>
          </w:pPr>
          <w:r>
            <w:fldChar w:fldCharType="begin"/>
          </w:r>
          <w:r>
            <w:instrText xml:space="preserve"> HYPERLINK \l _Toc8251 </w:instrText>
          </w:r>
          <w:r>
            <w:fldChar w:fldCharType="separate"/>
          </w:r>
          <w:r>
            <w:rPr>
              <w:rFonts w:hint="eastAsia" w:cs="宋体" w:asciiTheme="majorEastAsia" w:hAnsiTheme="majorEastAsia" w:eastAsiaTheme="majorEastAsia"/>
              <w:bCs/>
            </w:rPr>
            <w:t>第二章财税支持</w:t>
          </w:r>
          <w:r>
            <w:tab/>
          </w:r>
          <w:r>
            <w:fldChar w:fldCharType="begin"/>
          </w:r>
          <w:r>
            <w:instrText xml:space="preserve"> PAGEREF _Toc8251 \h </w:instrText>
          </w:r>
          <w:r>
            <w:fldChar w:fldCharType="separate"/>
          </w:r>
          <w:r>
            <w:t>30</w:t>
          </w:r>
          <w:r>
            <w:fldChar w:fldCharType="end"/>
          </w:r>
          <w:r>
            <w:fldChar w:fldCharType="end"/>
          </w:r>
        </w:p>
        <w:p>
          <w:pPr>
            <w:pStyle w:val="11"/>
            <w:tabs>
              <w:tab w:val="right" w:leader="dot" w:pos="8306"/>
            </w:tabs>
          </w:pPr>
          <w:r>
            <w:fldChar w:fldCharType="begin"/>
          </w:r>
          <w:r>
            <w:instrText xml:space="preserve"> HYPERLINK \l _Toc18474 </w:instrText>
          </w:r>
          <w:r>
            <w:fldChar w:fldCharType="separate"/>
          </w:r>
          <w:r>
            <w:rPr>
              <w:rFonts w:hint="eastAsia" w:cs="宋体" w:asciiTheme="majorEastAsia" w:hAnsiTheme="majorEastAsia" w:eastAsiaTheme="majorEastAsia"/>
              <w:bCs/>
            </w:rPr>
            <w:t>第三章融资促进</w:t>
          </w:r>
          <w:r>
            <w:tab/>
          </w:r>
          <w:r>
            <w:fldChar w:fldCharType="begin"/>
          </w:r>
          <w:r>
            <w:instrText xml:space="preserve"> PAGEREF _Toc18474 \h </w:instrText>
          </w:r>
          <w:r>
            <w:fldChar w:fldCharType="separate"/>
          </w:r>
          <w:r>
            <w:t>31</w:t>
          </w:r>
          <w:r>
            <w:fldChar w:fldCharType="end"/>
          </w:r>
          <w:r>
            <w:fldChar w:fldCharType="end"/>
          </w:r>
        </w:p>
        <w:p>
          <w:pPr>
            <w:pStyle w:val="11"/>
            <w:tabs>
              <w:tab w:val="right" w:leader="dot" w:pos="8306"/>
            </w:tabs>
          </w:pPr>
          <w:r>
            <w:fldChar w:fldCharType="begin"/>
          </w:r>
          <w:r>
            <w:instrText xml:space="preserve"> HYPERLINK \l _Toc1863 </w:instrText>
          </w:r>
          <w:r>
            <w:fldChar w:fldCharType="separate"/>
          </w:r>
          <w:r>
            <w:rPr>
              <w:rFonts w:hint="eastAsia" w:cs="宋体" w:asciiTheme="majorEastAsia" w:hAnsiTheme="majorEastAsia" w:eastAsiaTheme="majorEastAsia"/>
              <w:bCs/>
            </w:rPr>
            <w:t>第四章创业扶持</w:t>
          </w:r>
          <w:r>
            <w:tab/>
          </w:r>
          <w:r>
            <w:fldChar w:fldCharType="begin"/>
          </w:r>
          <w:r>
            <w:instrText xml:space="preserve"> PAGEREF _Toc1863 \h </w:instrText>
          </w:r>
          <w:r>
            <w:fldChar w:fldCharType="separate"/>
          </w:r>
          <w:r>
            <w:t>32</w:t>
          </w:r>
          <w:r>
            <w:fldChar w:fldCharType="end"/>
          </w:r>
          <w:r>
            <w:fldChar w:fldCharType="end"/>
          </w:r>
        </w:p>
        <w:p>
          <w:pPr>
            <w:pStyle w:val="11"/>
            <w:tabs>
              <w:tab w:val="right" w:leader="dot" w:pos="8306"/>
            </w:tabs>
          </w:pPr>
          <w:r>
            <w:fldChar w:fldCharType="begin"/>
          </w:r>
          <w:r>
            <w:instrText xml:space="preserve"> HYPERLINK \l _Toc25122 </w:instrText>
          </w:r>
          <w:r>
            <w:fldChar w:fldCharType="separate"/>
          </w:r>
          <w:r>
            <w:rPr>
              <w:rFonts w:hint="eastAsia" w:cs="宋体" w:asciiTheme="majorEastAsia" w:hAnsiTheme="majorEastAsia" w:eastAsiaTheme="majorEastAsia"/>
              <w:bCs/>
            </w:rPr>
            <w:t>第五章创新支持</w:t>
          </w:r>
          <w:r>
            <w:tab/>
          </w:r>
          <w:r>
            <w:fldChar w:fldCharType="begin"/>
          </w:r>
          <w:r>
            <w:instrText xml:space="preserve"> PAGEREF _Toc25122 \h </w:instrText>
          </w:r>
          <w:r>
            <w:fldChar w:fldCharType="separate"/>
          </w:r>
          <w:r>
            <w:t>33</w:t>
          </w:r>
          <w:r>
            <w:fldChar w:fldCharType="end"/>
          </w:r>
          <w:r>
            <w:fldChar w:fldCharType="end"/>
          </w:r>
        </w:p>
        <w:p>
          <w:pPr>
            <w:pStyle w:val="11"/>
            <w:tabs>
              <w:tab w:val="right" w:leader="dot" w:pos="8306"/>
            </w:tabs>
          </w:pPr>
          <w:r>
            <w:fldChar w:fldCharType="begin"/>
          </w:r>
          <w:r>
            <w:instrText xml:space="preserve"> HYPERLINK \l _Toc4654 </w:instrText>
          </w:r>
          <w:r>
            <w:fldChar w:fldCharType="separate"/>
          </w:r>
          <w:r>
            <w:rPr>
              <w:rFonts w:hint="eastAsia" w:cs="宋体" w:asciiTheme="majorEastAsia" w:hAnsiTheme="majorEastAsia" w:eastAsiaTheme="majorEastAsia"/>
              <w:bCs/>
            </w:rPr>
            <w:t>第六章市场开拓</w:t>
          </w:r>
          <w:r>
            <w:tab/>
          </w:r>
          <w:r>
            <w:fldChar w:fldCharType="begin"/>
          </w:r>
          <w:r>
            <w:instrText xml:space="preserve"> PAGEREF _Toc4654 \h </w:instrText>
          </w:r>
          <w:r>
            <w:fldChar w:fldCharType="separate"/>
          </w:r>
          <w:r>
            <w:t>34</w:t>
          </w:r>
          <w:r>
            <w:fldChar w:fldCharType="end"/>
          </w:r>
          <w:r>
            <w:fldChar w:fldCharType="end"/>
          </w:r>
        </w:p>
        <w:p>
          <w:pPr>
            <w:pStyle w:val="11"/>
            <w:tabs>
              <w:tab w:val="right" w:leader="dot" w:pos="8306"/>
            </w:tabs>
          </w:pPr>
          <w:r>
            <w:fldChar w:fldCharType="begin"/>
          </w:r>
          <w:r>
            <w:instrText xml:space="preserve"> HYPERLINK \l _Toc25759 </w:instrText>
          </w:r>
          <w:r>
            <w:fldChar w:fldCharType="separate"/>
          </w:r>
          <w:r>
            <w:rPr>
              <w:rFonts w:hint="eastAsia" w:cs="宋体" w:asciiTheme="majorEastAsia" w:hAnsiTheme="majorEastAsia" w:eastAsiaTheme="majorEastAsia"/>
              <w:bCs/>
            </w:rPr>
            <w:t>第七章服务措施</w:t>
          </w:r>
          <w:r>
            <w:tab/>
          </w:r>
          <w:r>
            <w:fldChar w:fldCharType="begin"/>
          </w:r>
          <w:r>
            <w:instrText xml:space="preserve"> PAGEREF _Toc25759 \h </w:instrText>
          </w:r>
          <w:r>
            <w:fldChar w:fldCharType="separate"/>
          </w:r>
          <w:r>
            <w:t>35</w:t>
          </w:r>
          <w:r>
            <w:fldChar w:fldCharType="end"/>
          </w:r>
          <w:r>
            <w:fldChar w:fldCharType="end"/>
          </w:r>
        </w:p>
        <w:p>
          <w:pPr>
            <w:pStyle w:val="11"/>
            <w:tabs>
              <w:tab w:val="right" w:leader="dot" w:pos="8306"/>
            </w:tabs>
          </w:pPr>
          <w:r>
            <w:fldChar w:fldCharType="begin"/>
          </w:r>
          <w:r>
            <w:instrText xml:space="preserve"> HYPERLINK \l _Toc6205 </w:instrText>
          </w:r>
          <w:r>
            <w:fldChar w:fldCharType="separate"/>
          </w:r>
          <w:r>
            <w:rPr>
              <w:rFonts w:hint="eastAsia" w:cs="宋体" w:asciiTheme="majorEastAsia" w:hAnsiTheme="majorEastAsia" w:eastAsiaTheme="majorEastAsia"/>
              <w:bCs/>
            </w:rPr>
            <w:t>第八章权益保护</w:t>
          </w:r>
          <w:r>
            <w:tab/>
          </w:r>
          <w:r>
            <w:fldChar w:fldCharType="begin"/>
          </w:r>
          <w:r>
            <w:instrText xml:space="preserve"> PAGEREF _Toc6205 \h </w:instrText>
          </w:r>
          <w:r>
            <w:fldChar w:fldCharType="separate"/>
          </w:r>
          <w:r>
            <w:t>36</w:t>
          </w:r>
          <w:r>
            <w:fldChar w:fldCharType="end"/>
          </w:r>
          <w:r>
            <w:fldChar w:fldCharType="end"/>
          </w:r>
        </w:p>
        <w:p>
          <w:pPr>
            <w:pStyle w:val="11"/>
            <w:tabs>
              <w:tab w:val="right" w:leader="dot" w:pos="8306"/>
            </w:tabs>
          </w:pPr>
          <w:r>
            <w:fldChar w:fldCharType="begin"/>
          </w:r>
          <w:r>
            <w:instrText xml:space="preserve"> HYPERLINK \l _Toc17536 </w:instrText>
          </w:r>
          <w:r>
            <w:fldChar w:fldCharType="separate"/>
          </w:r>
          <w:r>
            <w:rPr>
              <w:rFonts w:hint="eastAsia" w:cs="宋体" w:asciiTheme="majorEastAsia" w:hAnsiTheme="majorEastAsia" w:eastAsiaTheme="majorEastAsia"/>
              <w:bCs/>
            </w:rPr>
            <w:t>第九章监督检查</w:t>
          </w:r>
          <w:r>
            <w:tab/>
          </w:r>
          <w:r>
            <w:fldChar w:fldCharType="begin"/>
          </w:r>
          <w:r>
            <w:instrText xml:space="preserve"> PAGEREF _Toc17536 \h </w:instrText>
          </w:r>
          <w:r>
            <w:fldChar w:fldCharType="separate"/>
          </w:r>
          <w:r>
            <w:t>37</w:t>
          </w:r>
          <w:r>
            <w:fldChar w:fldCharType="end"/>
          </w:r>
          <w:r>
            <w:fldChar w:fldCharType="end"/>
          </w:r>
        </w:p>
        <w:p>
          <w:pPr>
            <w:pStyle w:val="11"/>
            <w:tabs>
              <w:tab w:val="right" w:leader="dot" w:pos="8306"/>
            </w:tabs>
          </w:pPr>
          <w:r>
            <w:fldChar w:fldCharType="begin"/>
          </w:r>
          <w:r>
            <w:instrText xml:space="preserve"> HYPERLINK \l _Toc21137 </w:instrText>
          </w:r>
          <w:r>
            <w:fldChar w:fldCharType="separate"/>
          </w:r>
          <w:r>
            <w:rPr>
              <w:rFonts w:hint="eastAsia" w:cs="宋体" w:asciiTheme="majorEastAsia" w:hAnsiTheme="majorEastAsia" w:eastAsiaTheme="majorEastAsia"/>
              <w:bCs/>
            </w:rPr>
            <w:t>第十章附则</w:t>
          </w:r>
          <w:r>
            <w:tab/>
          </w:r>
          <w:r>
            <w:fldChar w:fldCharType="begin"/>
          </w:r>
          <w:r>
            <w:instrText xml:space="preserve"> PAGEREF _Toc21137 \h </w:instrText>
          </w:r>
          <w:r>
            <w:fldChar w:fldCharType="separate"/>
          </w:r>
          <w:r>
            <w:t>38</w:t>
          </w:r>
          <w:r>
            <w:fldChar w:fldCharType="end"/>
          </w:r>
          <w:r>
            <w:fldChar w:fldCharType="end"/>
          </w:r>
        </w:p>
        <w:p>
          <w:pPr>
            <w:pStyle w:val="11"/>
            <w:tabs>
              <w:tab w:val="right" w:leader="dot" w:pos="8306"/>
            </w:tabs>
          </w:pPr>
          <w:r>
            <w:fldChar w:fldCharType="begin"/>
          </w:r>
          <w:r>
            <w:instrText xml:space="preserve"> HYPERLINK \l _Toc30525 </w:instrText>
          </w:r>
          <w:r>
            <w:fldChar w:fldCharType="separate"/>
          </w:r>
          <w:r>
            <w:rPr>
              <w:rFonts w:cs="宋体" w:asciiTheme="majorEastAsia" w:hAnsiTheme="majorEastAsia" w:eastAsiaTheme="majorEastAsia"/>
              <w:bCs/>
              <w:szCs w:val="24"/>
              <w:lang w:val="en-US" w:eastAsia="zh-CN" w:bidi="ar-SA"/>
            </w:rPr>
            <w:t>3.</w:t>
          </w:r>
          <w:r>
            <w:rPr>
              <w:rFonts w:hint="eastAsia"/>
            </w:rPr>
            <w:t>《最高人民法院关于执行担保若干问题的规定（2020修正）》</w:t>
          </w:r>
          <w:r>
            <w:tab/>
          </w:r>
          <w:r>
            <w:fldChar w:fldCharType="begin"/>
          </w:r>
          <w:r>
            <w:instrText xml:space="preserve"> PAGEREF _Toc30525 \h </w:instrText>
          </w:r>
          <w:r>
            <w:fldChar w:fldCharType="separate"/>
          </w:r>
          <w:r>
            <w:t>39</w:t>
          </w:r>
          <w:r>
            <w:fldChar w:fldCharType="end"/>
          </w:r>
          <w:r>
            <w:fldChar w:fldCharType="end"/>
          </w:r>
        </w:p>
        <w:p>
          <w:pPr>
            <w:pStyle w:val="11"/>
            <w:tabs>
              <w:tab w:val="right" w:leader="dot" w:pos="8306"/>
            </w:tabs>
          </w:pPr>
          <w:r>
            <w:fldChar w:fldCharType="begin"/>
          </w:r>
          <w:r>
            <w:instrText xml:space="preserve"> HYPERLINK \l _Toc17997 </w:instrText>
          </w:r>
          <w:r>
            <w:fldChar w:fldCharType="separate"/>
          </w:r>
          <w:r>
            <w:rPr>
              <w:rFonts w:cs="宋体" w:asciiTheme="majorEastAsia" w:hAnsiTheme="majorEastAsia" w:eastAsiaTheme="majorEastAsia"/>
              <w:bCs/>
              <w:szCs w:val="24"/>
              <w:lang w:val="en-US" w:eastAsia="zh-CN" w:bidi="ar-SA"/>
            </w:rPr>
            <w:t>4.</w:t>
          </w:r>
          <w:r>
            <w:rPr>
              <w:rFonts w:hint="eastAsia"/>
            </w:rPr>
            <w:t>《最高人民法院关于适用《中华人民共和国民法典》有关担保制度的解释》</w:t>
          </w:r>
          <w:r>
            <w:tab/>
          </w:r>
          <w:r>
            <w:fldChar w:fldCharType="begin"/>
          </w:r>
          <w:r>
            <w:instrText xml:space="preserve"> PAGEREF _Toc17997 \h </w:instrText>
          </w:r>
          <w:r>
            <w:fldChar w:fldCharType="separate"/>
          </w:r>
          <w:r>
            <w:t>42</w:t>
          </w:r>
          <w:r>
            <w:fldChar w:fldCharType="end"/>
          </w:r>
          <w:r>
            <w:fldChar w:fldCharType="end"/>
          </w:r>
        </w:p>
        <w:p>
          <w:pPr>
            <w:pStyle w:val="11"/>
            <w:tabs>
              <w:tab w:val="right" w:leader="dot" w:pos="8306"/>
            </w:tabs>
          </w:pPr>
          <w:r>
            <w:fldChar w:fldCharType="begin"/>
          </w:r>
          <w:r>
            <w:instrText xml:space="preserve"> HYPERLINK \l _Toc25808 </w:instrText>
          </w:r>
          <w:r>
            <w:fldChar w:fldCharType="separate"/>
          </w:r>
          <w:r>
            <w:rPr>
              <w:rFonts w:cs="宋体" w:asciiTheme="majorEastAsia" w:hAnsiTheme="majorEastAsia" w:eastAsiaTheme="majorEastAsia"/>
              <w:bCs/>
              <w:szCs w:val="24"/>
              <w:lang w:val="en-US" w:eastAsia="zh-CN" w:bidi="ar-SA"/>
            </w:rPr>
            <w:t>5.</w:t>
          </w:r>
          <w:r>
            <w:rPr>
              <w:rFonts w:hint="eastAsia"/>
            </w:rPr>
            <w:t>《票据管理实施办法（2011修订）》</w:t>
          </w:r>
          <w:r>
            <w:tab/>
          </w:r>
          <w:r>
            <w:fldChar w:fldCharType="begin"/>
          </w:r>
          <w:r>
            <w:instrText xml:space="preserve"> PAGEREF _Toc25808 \h </w:instrText>
          </w:r>
          <w:r>
            <w:fldChar w:fldCharType="separate"/>
          </w:r>
          <w:r>
            <w:t>63</w:t>
          </w:r>
          <w:r>
            <w:fldChar w:fldCharType="end"/>
          </w:r>
          <w:r>
            <w:fldChar w:fldCharType="end"/>
          </w:r>
        </w:p>
        <w:p>
          <w:pPr>
            <w:pStyle w:val="11"/>
            <w:tabs>
              <w:tab w:val="right" w:leader="dot" w:pos="8306"/>
            </w:tabs>
          </w:pPr>
          <w:r>
            <w:fldChar w:fldCharType="begin"/>
          </w:r>
          <w:r>
            <w:instrText xml:space="preserve"> HYPERLINK \l _Toc23900 </w:instrText>
          </w:r>
          <w:r>
            <w:fldChar w:fldCharType="separate"/>
          </w:r>
          <w:r>
            <w:rPr>
              <w:rFonts w:cs="宋体" w:asciiTheme="majorEastAsia" w:hAnsiTheme="majorEastAsia" w:eastAsiaTheme="majorEastAsia"/>
              <w:bCs/>
              <w:szCs w:val="24"/>
              <w:lang w:val="en-US" w:eastAsia="zh-CN" w:bidi="ar-SA"/>
            </w:rPr>
            <w:t>6.</w:t>
          </w:r>
          <w:r>
            <w:rPr>
              <w:rFonts w:hint="eastAsia"/>
            </w:rPr>
            <w:t>《征信业管理条例》</w:t>
          </w:r>
          <w:r>
            <w:tab/>
          </w:r>
          <w:r>
            <w:fldChar w:fldCharType="begin"/>
          </w:r>
          <w:r>
            <w:instrText xml:space="preserve"> PAGEREF _Toc23900 \h </w:instrText>
          </w:r>
          <w:r>
            <w:fldChar w:fldCharType="separate"/>
          </w:r>
          <w:r>
            <w:t>68</w:t>
          </w:r>
          <w:r>
            <w:fldChar w:fldCharType="end"/>
          </w:r>
          <w:r>
            <w:fldChar w:fldCharType="end"/>
          </w:r>
        </w:p>
        <w:p>
          <w:pPr>
            <w:pStyle w:val="11"/>
            <w:tabs>
              <w:tab w:val="right" w:leader="dot" w:pos="8306"/>
            </w:tabs>
          </w:pPr>
          <w:r>
            <w:fldChar w:fldCharType="begin"/>
          </w:r>
          <w:r>
            <w:instrText xml:space="preserve"> HYPERLINK \l _Toc20974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_Toc20974 \h </w:instrText>
          </w:r>
          <w:r>
            <w:fldChar w:fldCharType="separate"/>
          </w:r>
          <w:r>
            <w:t>68</w:t>
          </w:r>
          <w:r>
            <w:fldChar w:fldCharType="end"/>
          </w:r>
          <w:r>
            <w:fldChar w:fldCharType="end"/>
          </w:r>
        </w:p>
        <w:p>
          <w:pPr>
            <w:pStyle w:val="11"/>
            <w:tabs>
              <w:tab w:val="right" w:leader="dot" w:pos="8306"/>
            </w:tabs>
          </w:pPr>
          <w:r>
            <w:fldChar w:fldCharType="begin"/>
          </w:r>
          <w:r>
            <w:instrText xml:space="preserve"> HYPERLINK \l _Toc2633 </w:instrText>
          </w:r>
          <w:r>
            <w:fldChar w:fldCharType="separate"/>
          </w:r>
          <w:r>
            <w:rPr>
              <w:rFonts w:hint="eastAsia" w:cs="宋体" w:asciiTheme="majorEastAsia" w:hAnsiTheme="majorEastAsia" w:eastAsiaTheme="majorEastAsia"/>
              <w:bCs/>
            </w:rPr>
            <w:t>第二章征信机构</w:t>
          </w:r>
          <w:r>
            <w:tab/>
          </w:r>
          <w:r>
            <w:fldChar w:fldCharType="begin"/>
          </w:r>
          <w:r>
            <w:instrText xml:space="preserve"> PAGEREF _Toc2633 \h </w:instrText>
          </w:r>
          <w:r>
            <w:fldChar w:fldCharType="separate"/>
          </w:r>
          <w:r>
            <w:t>68</w:t>
          </w:r>
          <w:r>
            <w:fldChar w:fldCharType="end"/>
          </w:r>
          <w:r>
            <w:fldChar w:fldCharType="end"/>
          </w:r>
        </w:p>
        <w:p>
          <w:pPr>
            <w:pStyle w:val="11"/>
            <w:tabs>
              <w:tab w:val="right" w:leader="dot" w:pos="8306"/>
            </w:tabs>
          </w:pPr>
          <w:r>
            <w:fldChar w:fldCharType="begin"/>
          </w:r>
          <w:r>
            <w:instrText xml:space="preserve"> HYPERLINK \l _Toc19696 </w:instrText>
          </w:r>
          <w:r>
            <w:fldChar w:fldCharType="separate"/>
          </w:r>
          <w:r>
            <w:rPr>
              <w:rFonts w:hint="eastAsia" w:cs="宋体" w:asciiTheme="majorEastAsia" w:hAnsiTheme="majorEastAsia" w:eastAsiaTheme="majorEastAsia"/>
              <w:bCs/>
            </w:rPr>
            <w:t>第三章征信业务规则</w:t>
          </w:r>
          <w:r>
            <w:tab/>
          </w:r>
          <w:r>
            <w:fldChar w:fldCharType="begin"/>
          </w:r>
          <w:r>
            <w:instrText xml:space="preserve"> PAGEREF _Toc19696 \h </w:instrText>
          </w:r>
          <w:r>
            <w:fldChar w:fldCharType="separate"/>
          </w:r>
          <w:r>
            <w:t>70</w:t>
          </w:r>
          <w:r>
            <w:fldChar w:fldCharType="end"/>
          </w:r>
          <w:r>
            <w:fldChar w:fldCharType="end"/>
          </w:r>
        </w:p>
        <w:p>
          <w:pPr>
            <w:pStyle w:val="11"/>
            <w:tabs>
              <w:tab w:val="right" w:leader="dot" w:pos="8306"/>
            </w:tabs>
          </w:pPr>
          <w:r>
            <w:fldChar w:fldCharType="begin"/>
          </w:r>
          <w:r>
            <w:instrText xml:space="preserve"> HYPERLINK \l _Toc30725 </w:instrText>
          </w:r>
          <w:r>
            <w:fldChar w:fldCharType="separate"/>
          </w:r>
          <w:r>
            <w:rPr>
              <w:rFonts w:hint="eastAsia" w:cs="宋体" w:asciiTheme="majorEastAsia" w:hAnsiTheme="majorEastAsia" w:eastAsiaTheme="majorEastAsia"/>
              <w:bCs/>
            </w:rPr>
            <w:t>第四章异议和投诉</w:t>
          </w:r>
          <w:r>
            <w:tab/>
          </w:r>
          <w:r>
            <w:fldChar w:fldCharType="begin"/>
          </w:r>
          <w:r>
            <w:instrText xml:space="preserve"> PAGEREF _Toc30725 \h </w:instrText>
          </w:r>
          <w:r>
            <w:fldChar w:fldCharType="separate"/>
          </w:r>
          <w:r>
            <w:t>72</w:t>
          </w:r>
          <w:r>
            <w:fldChar w:fldCharType="end"/>
          </w:r>
          <w:r>
            <w:fldChar w:fldCharType="end"/>
          </w:r>
        </w:p>
        <w:p>
          <w:pPr>
            <w:pStyle w:val="11"/>
            <w:tabs>
              <w:tab w:val="right" w:leader="dot" w:pos="8306"/>
            </w:tabs>
          </w:pPr>
          <w:r>
            <w:fldChar w:fldCharType="begin"/>
          </w:r>
          <w:r>
            <w:instrText xml:space="preserve"> HYPERLINK \l _Toc15132 </w:instrText>
          </w:r>
          <w:r>
            <w:fldChar w:fldCharType="separate"/>
          </w:r>
          <w:r>
            <w:rPr>
              <w:rFonts w:hint="eastAsia" w:cs="宋体" w:asciiTheme="majorEastAsia" w:hAnsiTheme="majorEastAsia" w:eastAsiaTheme="majorEastAsia"/>
              <w:bCs/>
            </w:rPr>
            <w:t>第五章金融信用信息基础数据库</w:t>
          </w:r>
          <w:r>
            <w:tab/>
          </w:r>
          <w:r>
            <w:fldChar w:fldCharType="begin"/>
          </w:r>
          <w:r>
            <w:instrText xml:space="preserve"> PAGEREF _Toc15132 \h </w:instrText>
          </w:r>
          <w:r>
            <w:fldChar w:fldCharType="separate"/>
          </w:r>
          <w:r>
            <w:t>73</w:t>
          </w:r>
          <w:r>
            <w:fldChar w:fldCharType="end"/>
          </w:r>
          <w:r>
            <w:fldChar w:fldCharType="end"/>
          </w:r>
        </w:p>
        <w:p>
          <w:pPr>
            <w:pStyle w:val="11"/>
            <w:tabs>
              <w:tab w:val="right" w:leader="dot" w:pos="8306"/>
            </w:tabs>
          </w:pPr>
          <w:r>
            <w:fldChar w:fldCharType="begin"/>
          </w:r>
          <w:r>
            <w:instrText xml:space="preserve"> HYPERLINK \l _Toc3203 </w:instrText>
          </w:r>
          <w:r>
            <w:fldChar w:fldCharType="separate"/>
          </w:r>
          <w:r>
            <w:rPr>
              <w:rFonts w:hint="eastAsia" w:cs="宋体" w:asciiTheme="majorEastAsia" w:hAnsiTheme="majorEastAsia" w:eastAsiaTheme="majorEastAsia"/>
              <w:bCs/>
            </w:rPr>
            <w:t>第六章监督管理</w:t>
          </w:r>
          <w:r>
            <w:tab/>
          </w:r>
          <w:r>
            <w:fldChar w:fldCharType="begin"/>
          </w:r>
          <w:r>
            <w:instrText xml:space="preserve"> PAGEREF _Toc3203 \h </w:instrText>
          </w:r>
          <w:r>
            <w:fldChar w:fldCharType="separate"/>
          </w:r>
          <w:r>
            <w:t>74</w:t>
          </w:r>
          <w:r>
            <w:fldChar w:fldCharType="end"/>
          </w:r>
          <w:r>
            <w:fldChar w:fldCharType="end"/>
          </w:r>
        </w:p>
        <w:p>
          <w:pPr>
            <w:pStyle w:val="11"/>
            <w:tabs>
              <w:tab w:val="right" w:leader="dot" w:pos="8306"/>
            </w:tabs>
          </w:pPr>
          <w:r>
            <w:fldChar w:fldCharType="begin"/>
          </w:r>
          <w:r>
            <w:instrText xml:space="preserve"> HYPERLINK \l _Toc20790 </w:instrText>
          </w:r>
          <w:r>
            <w:fldChar w:fldCharType="separate"/>
          </w:r>
          <w:r>
            <w:rPr>
              <w:rFonts w:hint="eastAsia" w:cs="宋体" w:asciiTheme="majorEastAsia" w:hAnsiTheme="majorEastAsia" w:eastAsiaTheme="majorEastAsia"/>
              <w:bCs/>
            </w:rPr>
            <w:t>第七章法律责任</w:t>
          </w:r>
          <w:r>
            <w:tab/>
          </w:r>
          <w:r>
            <w:fldChar w:fldCharType="begin"/>
          </w:r>
          <w:r>
            <w:instrText xml:space="preserve"> PAGEREF _Toc20790 \h </w:instrText>
          </w:r>
          <w:r>
            <w:fldChar w:fldCharType="separate"/>
          </w:r>
          <w:r>
            <w:t>74</w:t>
          </w:r>
          <w:r>
            <w:fldChar w:fldCharType="end"/>
          </w:r>
          <w:r>
            <w:fldChar w:fldCharType="end"/>
          </w:r>
        </w:p>
        <w:p>
          <w:pPr>
            <w:pStyle w:val="11"/>
            <w:tabs>
              <w:tab w:val="right" w:leader="dot" w:pos="8306"/>
            </w:tabs>
          </w:pPr>
          <w:r>
            <w:fldChar w:fldCharType="begin"/>
          </w:r>
          <w:r>
            <w:instrText xml:space="preserve"> HYPERLINK \l _Toc32152 </w:instrText>
          </w:r>
          <w:r>
            <w:fldChar w:fldCharType="separate"/>
          </w:r>
          <w:r>
            <w:rPr>
              <w:rFonts w:hint="eastAsia" w:cs="宋体" w:asciiTheme="majorEastAsia" w:hAnsiTheme="majorEastAsia" w:eastAsiaTheme="majorEastAsia"/>
              <w:bCs/>
            </w:rPr>
            <w:t>第八章附则</w:t>
          </w:r>
          <w:r>
            <w:tab/>
          </w:r>
          <w:r>
            <w:fldChar w:fldCharType="begin"/>
          </w:r>
          <w:r>
            <w:instrText xml:space="preserve"> PAGEREF _Toc32152 \h </w:instrText>
          </w:r>
          <w:r>
            <w:fldChar w:fldCharType="separate"/>
          </w:r>
          <w:r>
            <w:t>77</w:t>
          </w:r>
          <w:r>
            <w:fldChar w:fldCharType="end"/>
          </w:r>
          <w:r>
            <w:fldChar w:fldCharType="end"/>
          </w:r>
        </w:p>
        <w:p>
          <w:pPr>
            <w:pStyle w:val="11"/>
            <w:tabs>
              <w:tab w:val="right" w:leader="dot" w:pos="8306"/>
            </w:tabs>
          </w:pPr>
          <w:r>
            <w:fldChar w:fldCharType="begin"/>
          </w:r>
          <w:r>
            <w:instrText xml:space="preserve"> HYPERLINK \l _Toc22900 </w:instrText>
          </w:r>
          <w:r>
            <w:fldChar w:fldCharType="separate"/>
          </w:r>
          <w:r>
            <w:rPr>
              <w:rFonts w:cs="宋体" w:asciiTheme="majorEastAsia" w:hAnsiTheme="majorEastAsia" w:eastAsiaTheme="majorEastAsia"/>
              <w:bCs/>
              <w:szCs w:val="24"/>
              <w:lang w:val="en-US" w:eastAsia="zh-CN" w:bidi="ar-SA"/>
            </w:rPr>
            <w:t>7.</w:t>
          </w:r>
          <w:r>
            <w:rPr>
              <w:rFonts w:hint="eastAsia"/>
            </w:rPr>
            <w:t>《融资担保公司监督管理条例》</w:t>
          </w:r>
          <w:r>
            <w:tab/>
          </w:r>
          <w:r>
            <w:fldChar w:fldCharType="begin"/>
          </w:r>
          <w:r>
            <w:instrText xml:space="preserve"> PAGEREF _Toc22900 \h </w:instrText>
          </w:r>
          <w:r>
            <w:fldChar w:fldCharType="separate"/>
          </w:r>
          <w:r>
            <w:t>78</w:t>
          </w:r>
          <w:r>
            <w:fldChar w:fldCharType="end"/>
          </w:r>
          <w:r>
            <w:fldChar w:fldCharType="end"/>
          </w:r>
        </w:p>
        <w:p>
          <w:pPr>
            <w:pStyle w:val="11"/>
            <w:tabs>
              <w:tab w:val="right" w:leader="dot" w:pos="8306"/>
            </w:tabs>
          </w:pPr>
          <w:r>
            <w:fldChar w:fldCharType="begin"/>
          </w:r>
          <w:r>
            <w:instrText xml:space="preserve"> HYPERLINK \l _Toc29061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_Toc29061 \h </w:instrText>
          </w:r>
          <w:r>
            <w:fldChar w:fldCharType="separate"/>
          </w:r>
          <w:r>
            <w:t>78</w:t>
          </w:r>
          <w:r>
            <w:fldChar w:fldCharType="end"/>
          </w:r>
          <w:r>
            <w:fldChar w:fldCharType="end"/>
          </w:r>
        </w:p>
        <w:p>
          <w:pPr>
            <w:pStyle w:val="11"/>
            <w:tabs>
              <w:tab w:val="right" w:leader="dot" w:pos="8306"/>
            </w:tabs>
          </w:pPr>
          <w:r>
            <w:fldChar w:fldCharType="begin"/>
          </w:r>
          <w:r>
            <w:instrText xml:space="preserve"> HYPERLINK \l _Toc31317 </w:instrText>
          </w:r>
          <w:r>
            <w:fldChar w:fldCharType="separate"/>
          </w:r>
          <w:r>
            <w:rPr>
              <w:rFonts w:hint="eastAsia" w:cs="宋体" w:asciiTheme="majorEastAsia" w:hAnsiTheme="majorEastAsia" w:eastAsiaTheme="majorEastAsia"/>
              <w:bCs/>
            </w:rPr>
            <w:t>第二章设立、变更和终止</w:t>
          </w:r>
          <w:r>
            <w:tab/>
          </w:r>
          <w:r>
            <w:fldChar w:fldCharType="begin"/>
          </w:r>
          <w:r>
            <w:instrText xml:space="preserve"> PAGEREF _Toc31317 \h </w:instrText>
          </w:r>
          <w:r>
            <w:fldChar w:fldCharType="separate"/>
          </w:r>
          <w:r>
            <w:t>78</w:t>
          </w:r>
          <w:r>
            <w:fldChar w:fldCharType="end"/>
          </w:r>
          <w:r>
            <w:fldChar w:fldCharType="end"/>
          </w:r>
        </w:p>
        <w:p>
          <w:pPr>
            <w:pStyle w:val="11"/>
            <w:tabs>
              <w:tab w:val="right" w:leader="dot" w:pos="8306"/>
            </w:tabs>
          </w:pPr>
          <w:r>
            <w:fldChar w:fldCharType="begin"/>
          </w:r>
          <w:r>
            <w:instrText xml:space="preserve"> HYPERLINK \l _Toc12554 </w:instrText>
          </w:r>
          <w:r>
            <w:fldChar w:fldCharType="separate"/>
          </w:r>
          <w:r>
            <w:rPr>
              <w:rFonts w:hint="eastAsia" w:cs="宋体" w:asciiTheme="majorEastAsia" w:hAnsiTheme="majorEastAsia" w:eastAsiaTheme="majorEastAsia"/>
              <w:bCs/>
            </w:rPr>
            <w:t>第三章经营规则</w:t>
          </w:r>
          <w:r>
            <w:tab/>
          </w:r>
          <w:r>
            <w:fldChar w:fldCharType="begin"/>
          </w:r>
          <w:r>
            <w:instrText xml:space="preserve"> PAGEREF _Toc12554 \h </w:instrText>
          </w:r>
          <w:r>
            <w:fldChar w:fldCharType="separate"/>
          </w:r>
          <w:r>
            <w:t>80</w:t>
          </w:r>
          <w:r>
            <w:fldChar w:fldCharType="end"/>
          </w:r>
          <w:r>
            <w:fldChar w:fldCharType="end"/>
          </w:r>
        </w:p>
        <w:p>
          <w:pPr>
            <w:pStyle w:val="11"/>
            <w:tabs>
              <w:tab w:val="right" w:leader="dot" w:pos="8306"/>
            </w:tabs>
          </w:pPr>
          <w:r>
            <w:fldChar w:fldCharType="begin"/>
          </w:r>
          <w:r>
            <w:instrText xml:space="preserve"> HYPERLINK \l _Toc3306 </w:instrText>
          </w:r>
          <w:r>
            <w:fldChar w:fldCharType="separate"/>
          </w:r>
          <w:r>
            <w:rPr>
              <w:rFonts w:hint="eastAsia" w:cs="宋体" w:asciiTheme="majorEastAsia" w:hAnsiTheme="majorEastAsia" w:eastAsiaTheme="majorEastAsia"/>
              <w:bCs/>
            </w:rPr>
            <w:t>第四章监督管理</w:t>
          </w:r>
          <w:r>
            <w:tab/>
          </w:r>
          <w:r>
            <w:fldChar w:fldCharType="begin"/>
          </w:r>
          <w:r>
            <w:instrText xml:space="preserve"> PAGEREF _Toc3306 \h </w:instrText>
          </w:r>
          <w:r>
            <w:fldChar w:fldCharType="separate"/>
          </w:r>
          <w:r>
            <w:t>82</w:t>
          </w:r>
          <w:r>
            <w:fldChar w:fldCharType="end"/>
          </w:r>
          <w:r>
            <w:fldChar w:fldCharType="end"/>
          </w:r>
        </w:p>
        <w:p>
          <w:pPr>
            <w:pStyle w:val="11"/>
            <w:tabs>
              <w:tab w:val="right" w:leader="dot" w:pos="8306"/>
            </w:tabs>
          </w:pPr>
          <w:r>
            <w:fldChar w:fldCharType="begin"/>
          </w:r>
          <w:r>
            <w:instrText xml:space="preserve"> HYPERLINK \l _Toc24322 </w:instrText>
          </w:r>
          <w:r>
            <w:fldChar w:fldCharType="separate"/>
          </w:r>
          <w:r>
            <w:rPr>
              <w:rFonts w:hint="eastAsia" w:cs="宋体" w:asciiTheme="majorEastAsia" w:hAnsiTheme="majorEastAsia" w:eastAsiaTheme="majorEastAsia"/>
              <w:bCs/>
            </w:rPr>
            <w:t>第五章法律责任</w:t>
          </w:r>
          <w:r>
            <w:tab/>
          </w:r>
          <w:r>
            <w:fldChar w:fldCharType="begin"/>
          </w:r>
          <w:r>
            <w:instrText xml:space="preserve"> PAGEREF _Toc24322 \h </w:instrText>
          </w:r>
          <w:r>
            <w:fldChar w:fldCharType="separate"/>
          </w:r>
          <w:r>
            <w:t>83</w:t>
          </w:r>
          <w:r>
            <w:fldChar w:fldCharType="end"/>
          </w:r>
          <w:r>
            <w:fldChar w:fldCharType="end"/>
          </w:r>
        </w:p>
        <w:p>
          <w:pPr>
            <w:pStyle w:val="11"/>
            <w:tabs>
              <w:tab w:val="right" w:leader="dot" w:pos="8306"/>
            </w:tabs>
          </w:pPr>
          <w:r>
            <w:fldChar w:fldCharType="begin"/>
          </w:r>
          <w:r>
            <w:instrText xml:space="preserve"> HYPERLINK \l _Toc18053 </w:instrText>
          </w:r>
          <w:r>
            <w:fldChar w:fldCharType="separate"/>
          </w:r>
          <w:r>
            <w:rPr>
              <w:rFonts w:hint="eastAsia" w:cs="宋体" w:asciiTheme="majorEastAsia" w:hAnsiTheme="majorEastAsia" w:eastAsiaTheme="majorEastAsia"/>
              <w:bCs/>
            </w:rPr>
            <w:t>第六章附则</w:t>
          </w:r>
          <w:r>
            <w:tab/>
          </w:r>
          <w:r>
            <w:fldChar w:fldCharType="begin"/>
          </w:r>
          <w:r>
            <w:instrText xml:space="preserve"> PAGEREF _Toc18053 \h </w:instrText>
          </w:r>
          <w:r>
            <w:fldChar w:fldCharType="separate"/>
          </w:r>
          <w:r>
            <w:t>85</w:t>
          </w:r>
          <w:r>
            <w:fldChar w:fldCharType="end"/>
          </w:r>
          <w:r>
            <w:fldChar w:fldCharType="end"/>
          </w:r>
        </w:p>
        <w:p>
          <w:pPr>
            <w:pStyle w:val="11"/>
            <w:tabs>
              <w:tab w:val="right" w:leader="dot" w:pos="8306"/>
            </w:tabs>
          </w:pPr>
          <w:r>
            <w:fldChar w:fldCharType="begin"/>
          </w:r>
          <w:r>
            <w:instrText xml:space="preserve"> HYPERLINK \l _Toc2507 </w:instrText>
          </w:r>
          <w:r>
            <w:fldChar w:fldCharType="separate"/>
          </w:r>
          <w:r>
            <w:rPr>
              <w:rFonts w:cs="宋体" w:asciiTheme="majorEastAsia" w:hAnsiTheme="majorEastAsia" w:eastAsiaTheme="majorEastAsia"/>
              <w:bCs/>
              <w:szCs w:val="24"/>
              <w:lang w:val="en-US" w:eastAsia="zh-CN" w:bidi="ar-SA"/>
            </w:rPr>
            <w:t>8.</w:t>
          </w:r>
          <w:r>
            <w:rPr>
              <w:rFonts w:hint="eastAsia"/>
            </w:rPr>
            <w:t>《保障中小企业款项支付条例》</w:t>
          </w:r>
          <w:r>
            <w:tab/>
          </w:r>
          <w:r>
            <w:fldChar w:fldCharType="begin"/>
          </w:r>
          <w:r>
            <w:instrText xml:space="preserve"> PAGEREF _Toc2507 \h </w:instrText>
          </w:r>
          <w:r>
            <w:fldChar w:fldCharType="separate"/>
          </w:r>
          <w:r>
            <w:t>87</w:t>
          </w:r>
          <w:r>
            <w:fldChar w:fldCharType="end"/>
          </w:r>
          <w:r>
            <w:fldChar w:fldCharType="end"/>
          </w:r>
        </w:p>
        <w:p>
          <w:pPr>
            <w:pStyle w:val="11"/>
            <w:tabs>
              <w:tab w:val="right" w:leader="dot" w:pos="8306"/>
            </w:tabs>
          </w:pPr>
          <w:r>
            <w:fldChar w:fldCharType="begin"/>
          </w:r>
          <w:r>
            <w:instrText xml:space="preserve"> HYPERLINK \l _Toc22781 </w:instrText>
          </w:r>
          <w:r>
            <w:fldChar w:fldCharType="separate"/>
          </w:r>
          <w:r>
            <w:rPr>
              <w:rFonts w:cs="宋体" w:asciiTheme="majorEastAsia" w:hAnsiTheme="majorEastAsia" w:eastAsiaTheme="majorEastAsia"/>
              <w:bCs/>
              <w:szCs w:val="24"/>
              <w:lang w:val="en-US" w:eastAsia="zh-CN" w:bidi="ar-SA"/>
            </w:rPr>
            <w:t>9.</w:t>
          </w:r>
          <w:r>
            <w:rPr>
              <w:rFonts w:hint="eastAsia"/>
            </w:rPr>
            <w:t>《人民币利率管理规定（1999修订版）》</w:t>
          </w:r>
          <w:r>
            <w:tab/>
          </w:r>
          <w:r>
            <w:fldChar w:fldCharType="begin"/>
          </w:r>
          <w:r>
            <w:instrText xml:space="preserve"> PAGEREF _Toc22781 \h </w:instrText>
          </w:r>
          <w:r>
            <w:fldChar w:fldCharType="separate"/>
          </w:r>
          <w:r>
            <w:t>93</w:t>
          </w:r>
          <w:r>
            <w:fldChar w:fldCharType="end"/>
          </w:r>
          <w:r>
            <w:fldChar w:fldCharType="end"/>
          </w:r>
        </w:p>
        <w:p>
          <w:pPr>
            <w:pStyle w:val="11"/>
            <w:tabs>
              <w:tab w:val="right" w:leader="dot" w:pos="8306"/>
            </w:tabs>
          </w:pPr>
          <w:r>
            <w:fldChar w:fldCharType="begin"/>
          </w:r>
          <w:r>
            <w:instrText xml:space="preserve"> HYPERLINK \l _Toc19724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_Toc19724 \h </w:instrText>
          </w:r>
          <w:r>
            <w:fldChar w:fldCharType="separate"/>
          </w:r>
          <w:r>
            <w:t>93</w:t>
          </w:r>
          <w:r>
            <w:fldChar w:fldCharType="end"/>
          </w:r>
          <w:r>
            <w:fldChar w:fldCharType="end"/>
          </w:r>
        </w:p>
        <w:p>
          <w:pPr>
            <w:pStyle w:val="11"/>
            <w:tabs>
              <w:tab w:val="right" w:leader="dot" w:pos="8306"/>
            </w:tabs>
          </w:pPr>
          <w:r>
            <w:fldChar w:fldCharType="begin"/>
          </w:r>
          <w:r>
            <w:instrText xml:space="preserve"> HYPERLINK \l _Toc1502 </w:instrText>
          </w:r>
          <w:r>
            <w:fldChar w:fldCharType="separate"/>
          </w:r>
          <w:r>
            <w:rPr>
              <w:rFonts w:hint="eastAsia" w:cs="宋体" w:asciiTheme="majorEastAsia" w:hAnsiTheme="majorEastAsia" w:eastAsiaTheme="majorEastAsia"/>
              <w:bCs/>
            </w:rPr>
            <w:t>第二章利率的制定与管理</w:t>
          </w:r>
          <w:r>
            <w:tab/>
          </w:r>
          <w:r>
            <w:fldChar w:fldCharType="begin"/>
          </w:r>
          <w:r>
            <w:instrText xml:space="preserve"> PAGEREF _Toc1502 \h </w:instrText>
          </w:r>
          <w:r>
            <w:fldChar w:fldCharType="separate"/>
          </w:r>
          <w:r>
            <w:t>93</w:t>
          </w:r>
          <w:r>
            <w:fldChar w:fldCharType="end"/>
          </w:r>
          <w:r>
            <w:fldChar w:fldCharType="end"/>
          </w:r>
        </w:p>
        <w:p>
          <w:pPr>
            <w:pStyle w:val="11"/>
            <w:tabs>
              <w:tab w:val="right" w:leader="dot" w:pos="8306"/>
            </w:tabs>
          </w:pPr>
          <w:r>
            <w:fldChar w:fldCharType="begin"/>
          </w:r>
          <w:r>
            <w:instrText xml:space="preserve"> HYPERLINK \l _Toc11930 </w:instrText>
          </w:r>
          <w:r>
            <w:fldChar w:fldCharType="separate"/>
          </w:r>
          <w:r>
            <w:rPr>
              <w:rFonts w:hint="eastAsia" w:cs="宋体" w:asciiTheme="majorEastAsia" w:hAnsiTheme="majorEastAsia" w:eastAsiaTheme="majorEastAsia"/>
              <w:bCs/>
            </w:rPr>
            <w:t>第三章存款的结息</w:t>
          </w:r>
          <w:r>
            <w:tab/>
          </w:r>
          <w:r>
            <w:fldChar w:fldCharType="begin"/>
          </w:r>
          <w:r>
            <w:instrText xml:space="preserve"> PAGEREF _Toc11930 \h </w:instrText>
          </w:r>
          <w:r>
            <w:fldChar w:fldCharType="separate"/>
          </w:r>
          <w:r>
            <w:t>95</w:t>
          </w:r>
          <w:r>
            <w:fldChar w:fldCharType="end"/>
          </w:r>
          <w:r>
            <w:fldChar w:fldCharType="end"/>
          </w:r>
        </w:p>
        <w:p>
          <w:pPr>
            <w:pStyle w:val="11"/>
            <w:tabs>
              <w:tab w:val="right" w:leader="dot" w:pos="8306"/>
            </w:tabs>
          </w:pPr>
          <w:r>
            <w:fldChar w:fldCharType="begin"/>
          </w:r>
          <w:r>
            <w:instrText xml:space="preserve"> HYPERLINK \l _Toc17468 </w:instrText>
          </w:r>
          <w:r>
            <w:fldChar w:fldCharType="separate"/>
          </w:r>
          <w:r>
            <w:rPr>
              <w:rFonts w:hint="eastAsia" w:cs="宋体" w:asciiTheme="majorEastAsia" w:hAnsiTheme="majorEastAsia" w:eastAsiaTheme="majorEastAsia"/>
              <w:bCs/>
            </w:rPr>
            <w:t>第四章贷款的结息</w:t>
          </w:r>
          <w:r>
            <w:tab/>
          </w:r>
          <w:r>
            <w:fldChar w:fldCharType="begin"/>
          </w:r>
          <w:r>
            <w:instrText xml:space="preserve"> PAGEREF _Toc17468 \h </w:instrText>
          </w:r>
          <w:r>
            <w:fldChar w:fldCharType="separate"/>
          </w:r>
          <w:r>
            <w:t>96</w:t>
          </w:r>
          <w:r>
            <w:fldChar w:fldCharType="end"/>
          </w:r>
          <w:r>
            <w:fldChar w:fldCharType="end"/>
          </w:r>
        </w:p>
        <w:p>
          <w:pPr>
            <w:pStyle w:val="11"/>
            <w:tabs>
              <w:tab w:val="right" w:leader="dot" w:pos="8306"/>
            </w:tabs>
          </w:pPr>
          <w:r>
            <w:fldChar w:fldCharType="begin"/>
          </w:r>
          <w:r>
            <w:instrText xml:space="preserve"> HYPERLINK \l _Toc30598 </w:instrText>
          </w:r>
          <w:r>
            <w:fldChar w:fldCharType="separate"/>
          </w:r>
          <w:r>
            <w:rPr>
              <w:rFonts w:hint="eastAsia" w:cs="宋体" w:asciiTheme="majorEastAsia" w:hAnsiTheme="majorEastAsia" w:eastAsiaTheme="majorEastAsia"/>
              <w:bCs/>
            </w:rPr>
            <w:t>第五章罚则</w:t>
          </w:r>
          <w:r>
            <w:tab/>
          </w:r>
          <w:r>
            <w:fldChar w:fldCharType="begin"/>
          </w:r>
          <w:r>
            <w:instrText xml:space="preserve"> PAGEREF _Toc30598 \h </w:instrText>
          </w:r>
          <w:r>
            <w:fldChar w:fldCharType="separate"/>
          </w:r>
          <w:r>
            <w:t>98</w:t>
          </w:r>
          <w:r>
            <w:fldChar w:fldCharType="end"/>
          </w:r>
          <w:r>
            <w:fldChar w:fldCharType="end"/>
          </w:r>
        </w:p>
        <w:p>
          <w:pPr>
            <w:pStyle w:val="11"/>
            <w:tabs>
              <w:tab w:val="right" w:leader="dot" w:pos="8306"/>
            </w:tabs>
          </w:pPr>
          <w:r>
            <w:fldChar w:fldCharType="begin"/>
          </w:r>
          <w:r>
            <w:instrText xml:space="preserve"> HYPERLINK \l _Toc22021 </w:instrText>
          </w:r>
          <w:r>
            <w:fldChar w:fldCharType="separate"/>
          </w:r>
          <w:r>
            <w:rPr>
              <w:rFonts w:hint="eastAsia" w:cs="宋体" w:asciiTheme="majorEastAsia" w:hAnsiTheme="majorEastAsia" w:eastAsiaTheme="majorEastAsia"/>
              <w:bCs/>
            </w:rPr>
            <w:t>第六章附则</w:t>
          </w:r>
          <w:r>
            <w:tab/>
          </w:r>
          <w:r>
            <w:fldChar w:fldCharType="begin"/>
          </w:r>
          <w:r>
            <w:instrText xml:space="preserve"> PAGEREF _Toc22021 \h </w:instrText>
          </w:r>
          <w:r>
            <w:fldChar w:fldCharType="separate"/>
          </w:r>
          <w:r>
            <w:t>99</w:t>
          </w:r>
          <w:r>
            <w:fldChar w:fldCharType="end"/>
          </w:r>
          <w:r>
            <w:fldChar w:fldCharType="end"/>
          </w:r>
        </w:p>
        <w:p>
          <w:pPr>
            <w:pStyle w:val="11"/>
            <w:tabs>
              <w:tab w:val="right" w:leader="dot" w:pos="8306"/>
            </w:tabs>
          </w:pPr>
          <w:r>
            <w:fldChar w:fldCharType="begin"/>
          </w:r>
          <w:r>
            <w:instrText xml:space="preserve"> HYPERLINK \l _Toc4765 </w:instrText>
          </w:r>
          <w:r>
            <w:fldChar w:fldCharType="separate"/>
          </w:r>
          <w:r>
            <w:rPr>
              <w:rFonts w:cs="宋体" w:asciiTheme="majorEastAsia" w:hAnsiTheme="majorEastAsia" w:eastAsiaTheme="majorEastAsia"/>
              <w:bCs/>
              <w:szCs w:val="24"/>
              <w:lang w:val="en-US" w:eastAsia="zh-CN" w:bidi="ar-SA"/>
            </w:rPr>
            <w:t>10.</w:t>
          </w:r>
          <w:r>
            <w:rPr>
              <w:rFonts w:hint="eastAsia"/>
            </w:rPr>
            <w:t>《再贴现办法》</w:t>
          </w:r>
          <w:r>
            <w:tab/>
          </w:r>
          <w:r>
            <w:fldChar w:fldCharType="begin"/>
          </w:r>
          <w:r>
            <w:instrText xml:space="preserve"> PAGEREF _Toc4765 \h </w:instrText>
          </w:r>
          <w:r>
            <w:fldChar w:fldCharType="separate"/>
          </w:r>
          <w:r>
            <w:t>100</w:t>
          </w:r>
          <w:r>
            <w:fldChar w:fldCharType="end"/>
          </w:r>
          <w:r>
            <w:fldChar w:fldCharType="end"/>
          </w:r>
        </w:p>
        <w:p>
          <w:pPr>
            <w:pStyle w:val="11"/>
            <w:tabs>
              <w:tab w:val="right" w:leader="dot" w:pos="8306"/>
            </w:tabs>
          </w:pPr>
          <w:r>
            <w:fldChar w:fldCharType="begin"/>
          </w:r>
          <w:r>
            <w:instrText xml:space="preserve"> HYPERLINK \l _Toc20745 </w:instrText>
          </w:r>
          <w:r>
            <w:fldChar w:fldCharType="separate"/>
          </w:r>
          <w:r>
            <w:rPr>
              <w:rFonts w:cs="宋体" w:asciiTheme="majorEastAsia" w:hAnsiTheme="majorEastAsia" w:eastAsiaTheme="majorEastAsia"/>
              <w:bCs/>
              <w:szCs w:val="24"/>
              <w:lang w:val="en-US" w:eastAsia="zh-CN" w:bidi="ar-SA"/>
            </w:rPr>
            <w:t>11.</w:t>
          </w:r>
          <w:r>
            <w:rPr>
              <w:rFonts w:hint="eastAsia"/>
            </w:rPr>
            <w:t>《贷款通则》</w:t>
          </w:r>
          <w:r>
            <w:tab/>
          </w:r>
          <w:r>
            <w:fldChar w:fldCharType="begin"/>
          </w:r>
          <w:r>
            <w:instrText xml:space="preserve"> PAGEREF _Toc20745 \h </w:instrText>
          </w:r>
          <w:r>
            <w:fldChar w:fldCharType="separate"/>
          </w:r>
          <w:r>
            <w:t>101</w:t>
          </w:r>
          <w:r>
            <w:fldChar w:fldCharType="end"/>
          </w:r>
          <w:r>
            <w:fldChar w:fldCharType="end"/>
          </w:r>
        </w:p>
        <w:p>
          <w:pPr>
            <w:pStyle w:val="11"/>
            <w:tabs>
              <w:tab w:val="right" w:leader="dot" w:pos="8306"/>
            </w:tabs>
          </w:pPr>
          <w:r>
            <w:fldChar w:fldCharType="begin"/>
          </w:r>
          <w:r>
            <w:instrText xml:space="preserve"> HYPERLINK \l _Toc989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_Toc989 \h </w:instrText>
          </w:r>
          <w:r>
            <w:fldChar w:fldCharType="separate"/>
          </w:r>
          <w:r>
            <w:t>101</w:t>
          </w:r>
          <w:r>
            <w:fldChar w:fldCharType="end"/>
          </w:r>
          <w:r>
            <w:fldChar w:fldCharType="end"/>
          </w:r>
        </w:p>
        <w:p>
          <w:pPr>
            <w:pStyle w:val="11"/>
            <w:tabs>
              <w:tab w:val="right" w:leader="dot" w:pos="8306"/>
            </w:tabs>
          </w:pPr>
          <w:r>
            <w:fldChar w:fldCharType="begin"/>
          </w:r>
          <w:r>
            <w:instrText xml:space="preserve"> HYPERLINK \l _Toc267 </w:instrText>
          </w:r>
          <w:r>
            <w:fldChar w:fldCharType="separate"/>
          </w:r>
          <w:r>
            <w:rPr>
              <w:rFonts w:hint="eastAsia" w:cs="宋体" w:asciiTheme="majorEastAsia" w:hAnsiTheme="majorEastAsia" w:eastAsiaTheme="majorEastAsia"/>
              <w:bCs/>
            </w:rPr>
            <w:t>第二章贷款种类</w:t>
          </w:r>
          <w:r>
            <w:tab/>
          </w:r>
          <w:r>
            <w:fldChar w:fldCharType="begin"/>
          </w:r>
          <w:r>
            <w:instrText xml:space="preserve"> PAGEREF _Toc267 \h </w:instrText>
          </w:r>
          <w:r>
            <w:fldChar w:fldCharType="separate"/>
          </w:r>
          <w:r>
            <w:t>101</w:t>
          </w:r>
          <w:r>
            <w:fldChar w:fldCharType="end"/>
          </w:r>
          <w:r>
            <w:fldChar w:fldCharType="end"/>
          </w:r>
        </w:p>
        <w:p>
          <w:pPr>
            <w:pStyle w:val="11"/>
            <w:tabs>
              <w:tab w:val="right" w:leader="dot" w:pos="8306"/>
            </w:tabs>
          </w:pPr>
          <w:r>
            <w:fldChar w:fldCharType="begin"/>
          </w:r>
          <w:r>
            <w:instrText xml:space="preserve"> HYPERLINK \l _Toc26801 </w:instrText>
          </w:r>
          <w:r>
            <w:fldChar w:fldCharType="separate"/>
          </w:r>
          <w:r>
            <w:rPr>
              <w:rFonts w:hint="eastAsia" w:cs="宋体" w:asciiTheme="majorEastAsia" w:hAnsiTheme="majorEastAsia" w:eastAsiaTheme="majorEastAsia"/>
              <w:bCs/>
            </w:rPr>
            <w:t>第三章贷款期限和利率</w:t>
          </w:r>
          <w:r>
            <w:tab/>
          </w:r>
          <w:r>
            <w:fldChar w:fldCharType="begin"/>
          </w:r>
          <w:r>
            <w:instrText xml:space="preserve"> PAGEREF _Toc26801 \h </w:instrText>
          </w:r>
          <w:r>
            <w:fldChar w:fldCharType="separate"/>
          </w:r>
          <w:r>
            <w:t>103</w:t>
          </w:r>
          <w:r>
            <w:fldChar w:fldCharType="end"/>
          </w:r>
          <w:r>
            <w:fldChar w:fldCharType="end"/>
          </w:r>
        </w:p>
        <w:p>
          <w:pPr>
            <w:pStyle w:val="11"/>
            <w:tabs>
              <w:tab w:val="right" w:leader="dot" w:pos="8306"/>
            </w:tabs>
          </w:pPr>
          <w:r>
            <w:fldChar w:fldCharType="begin"/>
          </w:r>
          <w:r>
            <w:instrText xml:space="preserve"> HYPERLINK \l _Toc29597 </w:instrText>
          </w:r>
          <w:r>
            <w:fldChar w:fldCharType="separate"/>
          </w:r>
          <w:r>
            <w:rPr>
              <w:rFonts w:hint="eastAsia" w:cs="宋体" w:asciiTheme="majorEastAsia" w:hAnsiTheme="majorEastAsia" w:eastAsiaTheme="majorEastAsia"/>
              <w:bCs/>
            </w:rPr>
            <w:t>第四章借款人</w:t>
          </w:r>
          <w:r>
            <w:tab/>
          </w:r>
          <w:r>
            <w:fldChar w:fldCharType="begin"/>
          </w:r>
          <w:r>
            <w:instrText xml:space="preserve"> PAGEREF _Toc29597 \h </w:instrText>
          </w:r>
          <w:r>
            <w:fldChar w:fldCharType="separate"/>
          </w:r>
          <w:r>
            <w:t>104</w:t>
          </w:r>
          <w:r>
            <w:fldChar w:fldCharType="end"/>
          </w:r>
          <w:r>
            <w:fldChar w:fldCharType="end"/>
          </w:r>
        </w:p>
        <w:p>
          <w:pPr>
            <w:pStyle w:val="11"/>
            <w:tabs>
              <w:tab w:val="right" w:leader="dot" w:pos="8306"/>
            </w:tabs>
          </w:pPr>
          <w:r>
            <w:fldChar w:fldCharType="begin"/>
          </w:r>
          <w:r>
            <w:instrText xml:space="preserve"> HYPERLINK \l _Toc12019 </w:instrText>
          </w:r>
          <w:r>
            <w:fldChar w:fldCharType="separate"/>
          </w:r>
          <w:r>
            <w:rPr>
              <w:rFonts w:hint="eastAsia" w:cs="宋体" w:asciiTheme="majorEastAsia" w:hAnsiTheme="majorEastAsia" w:eastAsiaTheme="majorEastAsia"/>
              <w:bCs/>
            </w:rPr>
            <w:t>第五章贷款人</w:t>
          </w:r>
          <w:r>
            <w:tab/>
          </w:r>
          <w:r>
            <w:fldChar w:fldCharType="begin"/>
          </w:r>
          <w:r>
            <w:instrText xml:space="preserve"> PAGEREF _Toc12019 \h </w:instrText>
          </w:r>
          <w:r>
            <w:fldChar w:fldCharType="separate"/>
          </w:r>
          <w:r>
            <w:t>106</w:t>
          </w:r>
          <w:r>
            <w:fldChar w:fldCharType="end"/>
          </w:r>
          <w:r>
            <w:fldChar w:fldCharType="end"/>
          </w:r>
        </w:p>
        <w:p>
          <w:pPr>
            <w:pStyle w:val="11"/>
            <w:tabs>
              <w:tab w:val="right" w:leader="dot" w:pos="8306"/>
            </w:tabs>
          </w:pPr>
          <w:r>
            <w:fldChar w:fldCharType="begin"/>
          </w:r>
          <w:r>
            <w:instrText xml:space="preserve"> HYPERLINK \l _Toc17298 </w:instrText>
          </w:r>
          <w:r>
            <w:fldChar w:fldCharType="separate"/>
          </w:r>
          <w:r>
            <w:rPr>
              <w:rFonts w:hint="eastAsia" w:cs="宋体" w:asciiTheme="majorEastAsia" w:hAnsiTheme="majorEastAsia" w:eastAsiaTheme="majorEastAsia"/>
              <w:bCs/>
            </w:rPr>
            <w:t>第六章贷款程序</w:t>
          </w:r>
          <w:r>
            <w:tab/>
          </w:r>
          <w:r>
            <w:fldChar w:fldCharType="begin"/>
          </w:r>
          <w:r>
            <w:instrText xml:space="preserve"> PAGEREF _Toc17298 \h </w:instrText>
          </w:r>
          <w:r>
            <w:fldChar w:fldCharType="separate"/>
          </w:r>
          <w:r>
            <w:t>108</w:t>
          </w:r>
          <w:r>
            <w:fldChar w:fldCharType="end"/>
          </w:r>
          <w:r>
            <w:fldChar w:fldCharType="end"/>
          </w:r>
        </w:p>
        <w:p>
          <w:pPr>
            <w:pStyle w:val="11"/>
            <w:tabs>
              <w:tab w:val="right" w:leader="dot" w:pos="8306"/>
            </w:tabs>
          </w:pPr>
          <w:r>
            <w:fldChar w:fldCharType="begin"/>
          </w:r>
          <w:r>
            <w:instrText xml:space="preserve"> HYPERLINK \l _Toc24831 </w:instrText>
          </w:r>
          <w:r>
            <w:fldChar w:fldCharType="separate"/>
          </w:r>
          <w:r>
            <w:rPr>
              <w:rFonts w:hint="eastAsia" w:cs="宋体" w:asciiTheme="majorEastAsia" w:hAnsiTheme="majorEastAsia" w:eastAsiaTheme="majorEastAsia"/>
              <w:bCs/>
            </w:rPr>
            <w:t>第七章不良贷款监管</w:t>
          </w:r>
          <w:r>
            <w:tab/>
          </w:r>
          <w:r>
            <w:fldChar w:fldCharType="begin"/>
          </w:r>
          <w:r>
            <w:instrText xml:space="preserve"> PAGEREF _Toc24831 \h </w:instrText>
          </w:r>
          <w:r>
            <w:fldChar w:fldCharType="separate"/>
          </w:r>
          <w:r>
            <w:t>109</w:t>
          </w:r>
          <w:r>
            <w:fldChar w:fldCharType="end"/>
          </w:r>
          <w:r>
            <w:fldChar w:fldCharType="end"/>
          </w:r>
        </w:p>
        <w:p>
          <w:pPr>
            <w:pStyle w:val="11"/>
            <w:tabs>
              <w:tab w:val="right" w:leader="dot" w:pos="8306"/>
            </w:tabs>
          </w:pPr>
          <w:r>
            <w:fldChar w:fldCharType="begin"/>
          </w:r>
          <w:r>
            <w:instrText xml:space="preserve"> HYPERLINK \l _Toc10572 </w:instrText>
          </w:r>
          <w:r>
            <w:fldChar w:fldCharType="separate"/>
          </w:r>
          <w:r>
            <w:rPr>
              <w:rFonts w:hint="eastAsia" w:cs="宋体" w:asciiTheme="majorEastAsia" w:hAnsiTheme="majorEastAsia" w:eastAsiaTheme="majorEastAsia"/>
              <w:bCs/>
            </w:rPr>
            <w:t>第八章贷款管理责任制</w:t>
          </w:r>
          <w:r>
            <w:tab/>
          </w:r>
          <w:r>
            <w:fldChar w:fldCharType="begin"/>
          </w:r>
          <w:r>
            <w:instrText xml:space="preserve"> PAGEREF _Toc10572 \h </w:instrText>
          </w:r>
          <w:r>
            <w:fldChar w:fldCharType="separate"/>
          </w:r>
          <w:r>
            <w:t>110</w:t>
          </w:r>
          <w:r>
            <w:fldChar w:fldCharType="end"/>
          </w:r>
          <w:r>
            <w:fldChar w:fldCharType="end"/>
          </w:r>
        </w:p>
        <w:p>
          <w:pPr>
            <w:pStyle w:val="11"/>
            <w:tabs>
              <w:tab w:val="right" w:leader="dot" w:pos="8306"/>
            </w:tabs>
          </w:pPr>
          <w:r>
            <w:fldChar w:fldCharType="begin"/>
          </w:r>
          <w:r>
            <w:instrText xml:space="preserve"> HYPERLINK \l _Toc5980 </w:instrText>
          </w:r>
          <w:r>
            <w:fldChar w:fldCharType="separate"/>
          </w:r>
          <w:r>
            <w:rPr>
              <w:rFonts w:hint="eastAsia" w:cs="宋体" w:asciiTheme="majorEastAsia" w:hAnsiTheme="majorEastAsia" w:eastAsiaTheme="majorEastAsia"/>
              <w:bCs/>
            </w:rPr>
            <w:t>第九章贷款债权保全和清偿的管理</w:t>
          </w:r>
          <w:r>
            <w:tab/>
          </w:r>
          <w:r>
            <w:fldChar w:fldCharType="begin"/>
          </w:r>
          <w:r>
            <w:instrText xml:space="preserve"> PAGEREF _Toc5980 \h </w:instrText>
          </w:r>
          <w:r>
            <w:fldChar w:fldCharType="separate"/>
          </w:r>
          <w:r>
            <w:t>111</w:t>
          </w:r>
          <w:r>
            <w:fldChar w:fldCharType="end"/>
          </w:r>
          <w:r>
            <w:fldChar w:fldCharType="end"/>
          </w:r>
        </w:p>
        <w:p>
          <w:pPr>
            <w:pStyle w:val="11"/>
            <w:tabs>
              <w:tab w:val="right" w:leader="dot" w:pos="8306"/>
            </w:tabs>
          </w:pPr>
          <w:r>
            <w:fldChar w:fldCharType="begin"/>
          </w:r>
          <w:r>
            <w:instrText xml:space="preserve"> HYPERLINK \l _Toc15922 </w:instrText>
          </w:r>
          <w:r>
            <w:fldChar w:fldCharType="separate"/>
          </w:r>
          <w:r>
            <w:rPr>
              <w:rFonts w:hint="eastAsia" w:cs="宋体" w:asciiTheme="majorEastAsia" w:hAnsiTheme="majorEastAsia" w:eastAsiaTheme="majorEastAsia"/>
              <w:bCs/>
            </w:rPr>
            <w:t>第十章贷款管理特别规定</w:t>
          </w:r>
          <w:r>
            <w:tab/>
          </w:r>
          <w:r>
            <w:fldChar w:fldCharType="begin"/>
          </w:r>
          <w:r>
            <w:instrText xml:space="preserve"> PAGEREF _Toc15922 \h </w:instrText>
          </w:r>
          <w:r>
            <w:fldChar w:fldCharType="separate"/>
          </w:r>
          <w:r>
            <w:t>113</w:t>
          </w:r>
          <w:r>
            <w:fldChar w:fldCharType="end"/>
          </w:r>
          <w:r>
            <w:fldChar w:fldCharType="end"/>
          </w:r>
        </w:p>
        <w:p>
          <w:pPr>
            <w:pStyle w:val="11"/>
            <w:tabs>
              <w:tab w:val="right" w:leader="dot" w:pos="8306"/>
            </w:tabs>
          </w:pPr>
          <w:r>
            <w:fldChar w:fldCharType="begin"/>
          </w:r>
          <w:r>
            <w:instrText xml:space="preserve"> HYPERLINK \l _Toc5386 </w:instrText>
          </w:r>
          <w:r>
            <w:fldChar w:fldCharType="separate"/>
          </w:r>
          <w:r>
            <w:rPr>
              <w:rFonts w:hint="eastAsia" w:cs="宋体" w:asciiTheme="majorEastAsia" w:hAnsiTheme="majorEastAsia" w:eastAsiaTheme="majorEastAsia"/>
              <w:bCs/>
            </w:rPr>
            <w:t>第十一章罚则</w:t>
          </w:r>
          <w:r>
            <w:tab/>
          </w:r>
          <w:r>
            <w:fldChar w:fldCharType="begin"/>
          </w:r>
          <w:r>
            <w:instrText xml:space="preserve"> PAGEREF _Toc5386 \h </w:instrText>
          </w:r>
          <w:r>
            <w:fldChar w:fldCharType="separate"/>
          </w:r>
          <w:r>
            <w:t>114</w:t>
          </w:r>
          <w:r>
            <w:fldChar w:fldCharType="end"/>
          </w:r>
          <w:r>
            <w:fldChar w:fldCharType="end"/>
          </w:r>
        </w:p>
        <w:p>
          <w:pPr>
            <w:pStyle w:val="11"/>
            <w:tabs>
              <w:tab w:val="right" w:leader="dot" w:pos="8306"/>
            </w:tabs>
          </w:pPr>
          <w:r>
            <w:fldChar w:fldCharType="begin"/>
          </w:r>
          <w:r>
            <w:instrText xml:space="preserve"> HYPERLINK \l _Toc30669 </w:instrText>
          </w:r>
          <w:r>
            <w:fldChar w:fldCharType="separate"/>
          </w:r>
          <w:r>
            <w:rPr>
              <w:rFonts w:hint="eastAsia" w:cs="宋体" w:asciiTheme="majorEastAsia" w:hAnsiTheme="majorEastAsia" w:eastAsiaTheme="majorEastAsia"/>
              <w:bCs/>
            </w:rPr>
            <w:t>第十二章附则</w:t>
          </w:r>
          <w:r>
            <w:tab/>
          </w:r>
          <w:r>
            <w:fldChar w:fldCharType="begin"/>
          </w:r>
          <w:r>
            <w:instrText xml:space="preserve"> PAGEREF _Toc30669 \h </w:instrText>
          </w:r>
          <w:r>
            <w:fldChar w:fldCharType="separate"/>
          </w:r>
          <w:r>
            <w:t>116</w:t>
          </w:r>
          <w:r>
            <w:fldChar w:fldCharType="end"/>
          </w:r>
          <w:r>
            <w:fldChar w:fldCharType="end"/>
          </w:r>
        </w:p>
        <w:p>
          <w:pPr>
            <w:pStyle w:val="11"/>
            <w:tabs>
              <w:tab w:val="right" w:leader="dot" w:pos="8306"/>
            </w:tabs>
          </w:pPr>
          <w:r>
            <w:fldChar w:fldCharType="begin"/>
          </w:r>
          <w:r>
            <w:instrText xml:space="preserve"> HYPERLINK \l _Toc5659 </w:instrText>
          </w:r>
          <w:r>
            <w:fldChar w:fldCharType="separate"/>
          </w:r>
          <w:r>
            <w:rPr>
              <w:rFonts w:cs="宋体" w:asciiTheme="majorEastAsia" w:hAnsiTheme="majorEastAsia" w:eastAsiaTheme="majorEastAsia"/>
              <w:bCs/>
              <w:szCs w:val="24"/>
              <w:lang w:val="en-US" w:eastAsia="zh-CN" w:bidi="ar-SA"/>
            </w:rPr>
            <w:t>12.</w:t>
          </w:r>
          <w:r>
            <w:rPr>
              <w:rFonts w:hint="eastAsia"/>
            </w:rPr>
            <w:t>《商业银行授权、授信管理暂行办法》</w:t>
          </w:r>
          <w:r>
            <w:tab/>
          </w:r>
          <w:r>
            <w:fldChar w:fldCharType="begin"/>
          </w:r>
          <w:r>
            <w:instrText xml:space="preserve"> PAGEREF _Toc5659 \h </w:instrText>
          </w:r>
          <w:r>
            <w:fldChar w:fldCharType="separate"/>
          </w:r>
          <w:r>
            <w:t>118</w:t>
          </w:r>
          <w:r>
            <w:fldChar w:fldCharType="end"/>
          </w:r>
          <w:r>
            <w:fldChar w:fldCharType="end"/>
          </w:r>
        </w:p>
        <w:p>
          <w:pPr>
            <w:pStyle w:val="11"/>
            <w:tabs>
              <w:tab w:val="right" w:leader="dot" w:pos="8306"/>
            </w:tabs>
          </w:pPr>
          <w:r>
            <w:fldChar w:fldCharType="begin"/>
          </w:r>
          <w:r>
            <w:instrText xml:space="preserve"> HYPERLINK \l _Toc17570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_Toc17570 \h </w:instrText>
          </w:r>
          <w:r>
            <w:fldChar w:fldCharType="separate"/>
          </w:r>
          <w:r>
            <w:t>118</w:t>
          </w:r>
          <w:r>
            <w:fldChar w:fldCharType="end"/>
          </w:r>
          <w:r>
            <w:fldChar w:fldCharType="end"/>
          </w:r>
        </w:p>
        <w:p>
          <w:pPr>
            <w:pStyle w:val="11"/>
            <w:tabs>
              <w:tab w:val="right" w:leader="dot" w:pos="8306"/>
            </w:tabs>
          </w:pPr>
          <w:r>
            <w:fldChar w:fldCharType="begin"/>
          </w:r>
          <w:r>
            <w:instrText xml:space="preserve"> HYPERLINK \l _Toc17711 </w:instrText>
          </w:r>
          <w:r>
            <w:fldChar w:fldCharType="separate"/>
          </w:r>
          <w:r>
            <w:rPr>
              <w:rFonts w:hint="eastAsia" w:cs="宋体" w:asciiTheme="majorEastAsia" w:hAnsiTheme="majorEastAsia" w:eastAsiaTheme="majorEastAsia"/>
              <w:bCs/>
            </w:rPr>
            <w:t>第二章授权、授信的方式</w:t>
          </w:r>
          <w:r>
            <w:tab/>
          </w:r>
          <w:r>
            <w:fldChar w:fldCharType="begin"/>
          </w:r>
          <w:r>
            <w:instrText xml:space="preserve"> PAGEREF _Toc17711 \h </w:instrText>
          </w:r>
          <w:r>
            <w:fldChar w:fldCharType="separate"/>
          </w:r>
          <w:r>
            <w:t>119</w:t>
          </w:r>
          <w:r>
            <w:fldChar w:fldCharType="end"/>
          </w:r>
          <w:r>
            <w:fldChar w:fldCharType="end"/>
          </w:r>
        </w:p>
        <w:p>
          <w:pPr>
            <w:pStyle w:val="11"/>
            <w:tabs>
              <w:tab w:val="right" w:leader="dot" w:pos="8306"/>
            </w:tabs>
          </w:pPr>
          <w:r>
            <w:fldChar w:fldCharType="begin"/>
          </w:r>
          <w:r>
            <w:instrText xml:space="preserve"> HYPERLINK \l _Toc26065 </w:instrText>
          </w:r>
          <w:r>
            <w:fldChar w:fldCharType="separate"/>
          </w:r>
          <w:r>
            <w:rPr>
              <w:rFonts w:hint="eastAsia" w:cs="宋体" w:asciiTheme="majorEastAsia" w:hAnsiTheme="majorEastAsia" w:eastAsiaTheme="majorEastAsia"/>
              <w:bCs/>
            </w:rPr>
            <w:t>第三章授权、授信的范围</w:t>
          </w:r>
          <w:r>
            <w:tab/>
          </w:r>
          <w:r>
            <w:fldChar w:fldCharType="begin"/>
          </w:r>
          <w:r>
            <w:instrText xml:space="preserve"> PAGEREF _Toc26065 \h </w:instrText>
          </w:r>
          <w:r>
            <w:fldChar w:fldCharType="separate"/>
          </w:r>
          <w:r>
            <w:t>121</w:t>
          </w:r>
          <w:r>
            <w:fldChar w:fldCharType="end"/>
          </w:r>
          <w:r>
            <w:fldChar w:fldCharType="end"/>
          </w:r>
        </w:p>
        <w:p>
          <w:pPr>
            <w:pStyle w:val="11"/>
            <w:tabs>
              <w:tab w:val="right" w:leader="dot" w:pos="8306"/>
            </w:tabs>
          </w:pPr>
          <w:r>
            <w:fldChar w:fldCharType="begin"/>
          </w:r>
          <w:r>
            <w:instrText xml:space="preserve"> HYPERLINK \l _Toc2299 </w:instrText>
          </w:r>
          <w:r>
            <w:fldChar w:fldCharType="separate"/>
          </w:r>
          <w:r>
            <w:rPr>
              <w:rFonts w:hint="eastAsia" w:cs="宋体" w:asciiTheme="majorEastAsia" w:hAnsiTheme="majorEastAsia" w:eastAsiaTheme="majorEastAsia"/>
              <w:bCs/>
            </w:rPr>
            <w:t>第四章授权、授信的期限、调整与终止</w:t>
          </w:r>
          <w:r>
            <w:tab/>
          </w:r>
          <w:r>
            <w:fldChar w:fldCharType="begin"/>
          </w:r>
          <w:r>
            <w:instrText xml:space="preserve"> PAGEREF _Toc2299 \h </w:instrText>
          </w:r>
          <w:r>
            <w:fldChar w:fldCharType="separate"/>
          </w:r>
          <w:r>
            <w:t>123</w:t>
          </w:r>
          <w:r>
            <w:fldChar w:fldCharType="end"/>
          </w:r>
          <w:r>
            <w:fldChar w:fldCharType="end"/>
          </w:r>
        </w:p>
        <w:p>
          <w:pPr>
            <w:pStyle w:val="11"/>
            <w:tabs>
              <w:tab w:val="right" w:leader="dot" w:pos="8306"/>
            </w:tabs>
          </w:pPr>
          <w:r>
            <w:fldChar w:fldCharType="begin"/>
          </w:r>
          <w:r>
            <w:instrText xml:space="preserve"> HYPERLINK \l _Toc3194 </w:instrText>
          </w:r>
          <w:r>
            <w:fldChar w:fldCharType="separate"/>
          </w:r>
          <w:r>
            <w:rPr>
              <w:rFonts w:hint="eastAsia" w:cs="宋体" w:asciiTheme="majorEastAsia" w:hAnsiTheme="majorEastAsia" w:eastAsiaTheme="majorEastAsia"/>
            </w:rPr>
            <w:t>第五章授权、授信的监督管理</w:t>
          </w:r>
          <w:r>
            <w:tab/>
          </w:r>
          <w:r>
            <w:fldChar w:fldCharType="begin"/>
          </w:r>
          <w:r>
            <w:instrText xml:space="preserve"> PAGEREF _Toc3194 \h </w:instrText>
          </w:r>
          <w:r>
            <w:fldChar w:fldCharType="separate"/>
          </w:r>
          <w:r>
            <w:t>124</w:t>
          </w:r>
          <w:r>
            <w:fldChar w:fldCharType="end"/>
          </w:r>
          <w:r>
            <w:fldChar w:fldCharType="end"/>
          </w:r>
        </w:p>
        <w:p>
          <w:pPr>
            <w:pStyle w:val="11"/>
            <w:tabs>
              <w:tab w:val="right" w:leader="dot" w:pos="8306"/>
            </w:tabs>
          </w:pPr>
          <w:r>
            <w:fldChar w:fldCharType="begin"/>
          </w:r>
          <w:r>
            <w:instrText xml:space="preserve"> HYPERLINK \l _Toc1655 </w:instrText>
          </w:r>
          <w:r>
            <w:fldChar w:fldCharType="separate"/>
          </w:r>
          <w:r>
            <w:rPr>
              <w:rFonts w:hint="eastAsia" w:cs="宋体" w:asciiTheme="majorEastAsia" w:hAnsiTheme="majorEastAsia" w:eastAsiaTheme="majorEastAsia"/>
              <w:bCs/>
            </w:rPr>
            <w:t>第六章罚则</w:t>
          </w:r>
          <w:r>
            <w:tab/>
          </w:r>
          <w:r>
            <w:fldChar w:fldCharType="begin"/>
          </w:r>
          <w:r>
            <w:instrText xml:space="preserve"> PAGEREF _Toc1655 \h </w:instrText>
          </w:r>
          <w:r>
            <w:fldChar w:fldCharType="separate"/>
          </w:r>
          <w:r>
            <w:t>124</w:t>
          </w:r>
          <w:r>
            <w:fldChar w:fldCharType="end"/>
          </w:r>
          <w:r>
            <w:fldChar w:fldCharType="end"/>
          </w:r>
        </w:p>
        <w:p>
          <w:pPr>
            <w:pStyle w:val="11"/>
            <w:tabs>
              <w:tab w:val="right" w:leader="dot" w:pos="8306"/>
            </w:tabs>
          </w:pPr>
          <w:r>
            <w:fldChar w:fldCharType="begin"/>
          </w:r>
          <w:r>
            <w:instrText xml:space="preserve"> HYPERLINK \l _Toc26814 </w:instrText>
          </w:r>
          <w:r>
            <w:fldChar w:fldCharType="separate"/>
          </w:r>
          <w:r>
            <w:rPr>
              <w:rFonts w:hint="eastAsia" w:cs="宋体" w:asciiTheme="majorEastAsia" w:hAnsiTheme="majorEastAsia" w:eastAsiaTheme="majorEastAsia"/>
              <w:bCs/>
            </w:rPr>
            <w:t>第七章附则</w:t>
          </w:r>
          <w:r>
            <w:tab/>
          </w:r>
          <w:r>
            <w:fldChar w:fldCharType="begin"/>
          </w:r>
          <w:r>
            <w:instrText xml:space="preserve"> PAGEREF _Toc26814 \h </w:instrText>
          </w:r>
          <w:r>
            <w:fldChar w:fldCharType="separate"/>
          </w:r>
          <w:r>
            <w:t>125</w:t>
          </w:r>
          <w:r>
            <w:fldChar w:fldCharType="end"/>
          </w:r>
          <w:r>
            <w:fldChar w:fldCharType="end"/>
          </w:r>
        </w:p>
        <w:p>
          <w:pPr>
            <w:pStyle w:val="11"/>
            <w:tabs>
              <w:tab w:val="right" w:leader="dot" w:pos="8306"/>
            </w:tabs>
          </w:pPr>
          <w:r>
            <w:fldChar w:fldCharType="begin"/>
          </w:r>
          <w:r>
            <w:instrText xml:space="preserve"> HYPERLINK \l _Toc30754 </w:instrText>
          </w:r>
          <w:r>
            <w:fldChar w:fldCharType="separate"/>
          </w:r>
          <w:r>
            <w:rPr>
              <w:rFonts w:cs="宋体" w:asciiTheme="majorEastAsia" w:hAnsiTheme="majorEastAsia" w:eastAsiaTheme="majorEastAsia"/>
              <w:bCs/>
              <w:szCs w:val="24"/>
              <w:lang w:val="en-US" w:eastAsia="zh-CN" w:bidi="ar-SA"/>
            </w:rPr>
            <w:t>13.</w:t>
          </w:r>
          <w:r>
            <w:rPr>
              <w:rFonts w:hint="eastAsia"/>
            </w:rPr>
            <w:t>《固定资产贷款管理暂行办法》</w:t>
          </w:r>
          <w:r>
            <w:tab/>
          </w:r>
          <w:r>
            <w:fldChar w:fldCharType="begin"/>
          </w:r>
          <w:r>
            <w:instrText xml:space="preserve"> PAGEREF _Toc30754 \h </w:instrText>
          </w:r>
          <w:r>
            <w:fldChar w:fldCharType="separate"/>
          </w:r>
          <w:r>
            <w:t>127</w:t>
          </w:r>
          <w:r>
            <w:fldChar w:fldCharType="end"/>
          </w:r>
          <w:r>
            <w:fldChar w:fldCharType="end"/>
          </w:r>
        </w:p>
        <w:p>
          <w:pPr>
            <w:pStyle w:val="11"/>
            <w:tabs>
              <w:tab w:val="right" w:leader="dot" w:pos="8306"/>
            </w:tabs>
          </w:pPr>
          <w:r>
            <w:fldChar w:fldCharType="begin"/>
          </w:r>
          <w:r>
            <w:instrText xml:space="preserve"> HYPERLINK \l _Toc29309 </w:instrText>
          </w:r>
          <w:r>
            <w:fldChar w:fldCharType="separate"/>
          </w:r>
          <w:r>
            <w:rPr>
              <w:rFonts w:hint="eastAsia" w:cs="宋体" w:asciiTheme="majorEastAsia" w:hAnsiTheme="majorEastAsia" w:eastAsiaTheme="majorEastAsia"/>
              <w:bCs/>
            </w:rPr>
            <w:t>第一章 总 则</w:t>
          </w:r>
          <w:r>
            <w:tab/>
          </w:r>
          <w:r>
            <w:fldChar w:fldCharType="begin"/>
          </w:r>
          <w:r>
            <w:instrText xml:space="preserve"> PAGEREF _Toc29309 \h </w:instrText>
          </w:r>
          <w:r>
            <w:fldChar w:fldCharType="separate"/>
          </w:r>
          <w:r>
            <w:t>127</w:t>
          </w:r>
          <w:r>
            <w:fldChar w:fldCharType="end"/>
          </w:r>
          <w:r>
            <w:fldChar w:fldCharType="end"/>
          </w:r>
        </w:p>
        <w:p>
          <w:pPr>
            <w:pStyle w:val="11"/>
            <w:tabs>
              <w:tab w:val="right" w:leader="dot" w:pos="8306"/>
            </w:tabs>
          </w:pPr>
          <w:r>
            <w:fldChar w:fldCharType="begin"/>
          </w:r>
          <w:r>
            <w:instrText xml:space="preserve"> HYPERLINK \l _Toc26701 </w:instrText>
          </w:r>
          <w:r>
            <w:fldChar w:fldCharType="separate"/>
          </w:r>
          <w:r>
            <w:rPr>
              <w:rFonts w:hint="eastAsia" w:cs="宋体" w:asciiTheme="majorEastAsia" w:hAnsiTheme="majorEastAsia" w:eastAsiaTheme="majorEastAsia"/>
              <w:bCs/>
            </w:rPr>
            <w:t>第二章 受理与调查</w:t>
          </w:r>
          <w:r>
            <w:tab/>
          </w:r>
          <w:r>
            <w:fldChar w:fldCharType="begin"/>
          </w:r>
          <w:r>
            <w:instrText xml:space="preserve"> PAGEREF _Toc26701 \h </w:instrText>
          </w:r>
          <w:r>
            <w:fldChar w:fldCharType="separate"/>
          </w:r>
          <w:r>
            <w:t>128</w:t>
          </w:r>
          <w:r>
            <w:fldChar w:fldCharType="end"/>
          </w:r>
          <w:r>
            <w:fldChar w:fldCharType="end"/>
          </w:r>
        </w:p>
        <w:p>
          <w:pPr>
            <w:pStyle w:val="11"/>
            <w:tabs>
              <w:tab w:val="right" w:leader="dot" w:pos="8306"/>
            </w:tabs>
          </w:pPr>
          <w:r>
            <w:fldChar w:fldCharType="begin"/>
          </w:r>
          <w:r>
            <w:instrText xml:space="preserve"> HYPERLINK \l _Toc31976 </w:instrText>
          </w:r>
          <w:r>
            <w:fldChar w:fldCharType="separate"/>
          </w:r>
          <w:r>
            <w:rPr>
              <w:rFonts w:hint="eastAsia" w:cs="宋体" w:asciiTheme="majorEastAsia" w:hAnsiTheme="majorEastAsia" w:eastAsiaTheme="majorEastAsia"/>
              <w:bCs/>
            </w:rPr>
            <w:t>第三章风险评价与审批</w:t>
          </w:r>
          <w:r>
            <w:tab/>
          </w:r>
          <w:r>
            <w:fldChar w:fldCharType="begin"/>
          </w:r>
          <w:r>
            <w:instrText xml:space="preserve"> PAGEREF _Toc31976 \h </w:instrText>
          </w:r>
          <w:r>
            <w:fldChar w:fldCharType="separate"/>
          </w:r>
          <w:r>
            <w:t>129</w:t>
          </w:r>
          <w:r>
            <w:fldChar w:fldCharType="end"/>
          </w:r>
          <w:r>
            <w:fldChar w:fldCharType="end"/>
          </w:r>
        </w:p>
        <w:p>
          <w:pPr>
            <w:pStyle w:val="11"/>
            <w:tabs>
              <w:tab w:val="right" w:leader="dot" w:pos="8306"/>
            </w:tabs>
          </w:pPr>
          <w:r>
            <w:fldChar w:fldCharType="begin"/>
          </w:r>
          <w:r>
            <w:instrText xml:space="preserve"> HYPERLINK \l _Toc12004 </w:instrText>
          </w:r>
          <w:r>
            <w:fldChar w:fldCharType="separate"/>
          </w:r>
          <w:r>
            <w:rPr>
              <w:rFonts w:hint="eastAsia" w:cs="宋体" w:asciiTheme="majorEastAsia" w:hAnsiTheme="majorEastAsia" w:eastAsiaTheme="majorEastAsia"/>
              <w:bCs/>
            </w:rPr>
            <w:t>第四章合同签订</w:t>
          </w:r>
          <w:r>
            <w:tab/>
          </w:r>
          <w:r>
            <w:fldChar w:fldCharType="begin"/>
          </w:r>
          <w:r>
            <w:instrText xml:space="preserve"> PAGEREF _Toc12004 \h </w:instrText>
          </w:r>
          <w:r>
            <w:fldChar w:fldCharType="separate"/>
          </w:r>
          <w:r>
            <w:t>130</w:t>
          </w:r>
          <w:r>
            <w:fldChar w:fldCharType="end"/>
          </w:r>
          <w:r>
            <w:fldChar w:fldCharType="end"/>
          </w:r>
        </w:p>
        <w:p>
          <w:pPr>
            <w:pStyle w:val="11"/>
            <w:tabs>
              <w:tab w:val="right" w:leader="dot" w:pos="8306"/>
            </w:tabs>
          </w:pPr>
          <w:r>
            <w:fldChar w:fldCharType="begin"/>
          </w:r>
          <w:r>
            <w:instrText xml:space="preserve"> HYPERLINK \l _Toc5050 </w:instrText>
          </w:r>
          <w:r>
            <w:fldChar w:fldCharType="separate"/>
          </w:r>
          <w:r>
            <w:rPr>
              <w:rFonts w:hint="eastAsia" w:cs="宋体" w:asciiTheme="majorEastAsia" w:hAnsiTheme="majorEastAsia" w:eastAsiaTheme="majorEastAsia"/>
              <w:bCs/>
            </w:rPr>
            <w:t>第五章发放与支付</w:t>
          </w:r>
          <w:r>
            <w:tab/>
          </w:r>
          <w:r>
            <w:fldChar w:fldCharType="begin"/>
          </w:r>
          <w:r>
            <w:instrText xml:space="preserve"> PAGEREF _Toc5050 \h </w:instrText>
          </w:r>
          <w:r>
            <w:fldChar w:fldCharType="separate"/>
          </w:r>
          <w:r>
            <w:t>131</w:t>
          </w:r>
          <w:r>
            <w:fldChar w:fldCharType="end"/>
          </w:r>
          <w:r>
            <w:fldChar w:fldCharType="end"/>
          </w:r>
        </w:p>
        <w:p>
          <w:pPr>
            <w:pStyle w:val="11"/>
            <w:tabs>
              <w:tab w:val="right" w:leader="dot" w:pos="8306"/>
            </w:tabs>
          </w:pPr>
          <w:r>
            <w:fldChar w:fldCharType="begin"/>
          </w:r>
          <w:r>
            <w:instrText xml:space="preserve"> HYPERLINK \l _Toc22089 </w:instrText>
          </w:r>
          <w:r>
            <w:fldChar w:fldCharType="separate"/>
          </w:r>
          <w:r>
            <w:rPr>
              <w:rFonts w:hint="eastAsia" w:cs="宋体" w:asciiTheme="majorEastAsia" w:hAnsiTheme="majorEastAsia" w:eastAsiaTheme="majorEastAsia"/>
              <w:bCs/>
            </w:rPr>
            <w:t>第六章贷后管理</w:t>
          </w:r>
          <w:r>
            <w:tab/>
          </w:r>
          <w:r>
            <w:fldChar w:fldCharType="begin"/>
          </w:r>
          <w:r>
            <w:instrText xml:space="preserve"> PAGEREF _Toc22089 \h </w:instrText>
          </w:r>
          <w:r>
            <w:fldChar w:fldCharType="separate"/>
          </w:r>
          <w:r>
            <w:t>133</w:t>
          </w:r>
          <w:r>
            <w:fldChar w:fldCharType="end"/>
          </w:r>
          <w:r>
            <w:fldChar w:fldCharType="end"/>
          </w:r>
        </w:p>
        <w:p>
          <w:pPr>
            <w:pStyle w:val="11"/>
            <w:tabs>
              <w:tab w:val="right" w:leader="dot" w:pos="8306"/>
            </w:tabs>
          </w:pPr>
          <w:r>
            <w:fldChar w:fldCharType="begin"/>
          </w:r>
          <w:r>
            <w:instrText xml:space="preserve"> HYPERLINK \l _Toc22292 </w:instrText>
          </w:r>
          <w:r>
            <w:fldChar w:fldCharType="separate"/>
          </w:r>
          <w:r>
            <w:rPr>
              <w:rFonts w:hint="eastAsia" w:cs="宋体" w:asciiTheme="majorEastAsia" w:hAnsiTheme="majorEastAsia" w:eastAsiaTheme="majorEastAsia"/>
              <w:bCs/>
            </w:rPr>
            <w:t>第七章 项目融资</w:t>
          </w:r>
          <w:r>
            <w:tab/>
          </w:r>
          <w:r>
            <w:fldChar w:fldCharType="begin"/>
          </w:r>
          <w:r>
            <w:instrText xml:space="preserve"> PAGEREF _Toc22292 \h </w:instrText>
          </w:r>
          <w:r>
            <w:fldChar w:fldCharType="separate"/>
          </w:r>
          <w:r>
            <w:t>134</w:t>
          </w:r>
          <w:r>
            <w:fldChar w:fldCharType="end"/>
          </w:r>
          <w:r>
            <w:fldChar w:fldCharType="end"/>
          </w:r>
        </w:p>
        <w:p>
          <w:pPr>
            <w:pStyle w:val="11"/>
            <w:tabs>
              <w:tab w:val="right" w:leader="dot" w:pos="8306"/>
            </w:tabs>
          </w:pPr>
          <w:r>
            <w:fldChar w:fldCharType="begin"/>
          </w:r>
          <w:r>
            <w:instrText xml:space="preserve"> HYPERLINK \l _Toc26686 </w:instrText>
          </w:r>
          <w:r>
            <w:fldChar w:fldCharType="separate"/>
          </w:r>
          <w:r>
            <w:rPr>
              <w:rFonts w:hint="eastAsia" w:cs="宋体" w:asciiTheme="majorEastAsia" w:hAnsiTheme="majorEastAsia" w:eastAsiaTheme="majorEastAsia"/>
              <w:bCs/>
            </w:rPr>
            <w:t>第八章法律责任</w:t>
          </w:r>
          <w:r>
            <w:tab/>
          </w:r>
          <w:r>
            <w:fldChar w:fldCharType="begin"/>
          </w:r>
          <w:r>
            <w:instrText xml:space="preserve"> PAGEREF _Toc26686 \h </w:instrText>
          </w:r>
          <w:r>
            <w:fldChar w:fldCharType="separate"/>
          </w:r>
          <w:r>
            <w:t>135</w:t>
          </w:r>
          <w:r>
            <w:fldChar w:fldCharType="end"/>
          </w:r>
          <w:r>
            <w:fldChar w:fldCharType="end"/>
          </w:r>
        </w:p>
        <w:p>
          <w:pPr>
            <w:pStyle w:val="11"/>
            <w:tabs>
              <w:tab w:val="right" w:leader="dot" w:pos="8306"/>
            </w:tabs>
          </w:pPr>
          <w:r>
            <w:fldChar w:fldCharType="begin"/>
          </w:r>
          <w:r>
            <w:instrText xml:space="preserve"> HYPERLINK \l _Toc29515 </w:instrText>
          </w:r>
          <w:r>
            <w:fldChar w:fldCharType="separate"/>
          </w:r>
          <w:r>
            <w:rPr>
              <w:rFonts w:hint="eastAsia" w:cs="宋体" w:asciiTheme="majorEastAsia" w:hAnsiTheme="majorEastAsia" w:eastAsiaTheme="majorEastAsia"/>
              <w:bCs/>
            </w:rPr>
            <w:t>第九章附 则</w:t>
          </w:r>
          <w:r>
            <w:tab/>
          </w:r>
          <w:r>
            <w:fldChar w:fldCharType="begin"/>
          </w:r>
          <w:r>
            <w:instrText xml:space="preserve"> PAGEREF _Toc29515 \h </w:instrText>
          </w:r>
          <w:r>
            <w:fldChar w:fldCharType="separate"/>
          </w:r>
          <w:r>
            <w:t>136</w:t>
          </w:r>
          <w:r>
            <w:fldChar w:fldCharType="end"/>
          </w:r>
          <w:r>
            <w:fldChar w:fldCharType="end"/>
          </w:r>
        </w:p>
        <w:p>
          <w:pPr>
            <w:pStyle w:val="11"/>
            <w:tabs>
              <w:tab w:val="right" w:leader="dot" w:pos="8306"/>
            </w:tabs>
          </w:pPr>
          <w:r>
            <w:fldChar w:fldCharType="begin"/>
          </w:r>
          <w:r>
            <w:instrText xml:space="preserve"> HYPERLINK \l _Toc27383 </w:instrText>
          </w:r>
          <w:r>
            <w:fldChar w:fldCharType="separate"/>
          </w:r>
          <w:r>
            <w:rPr>
              <w:rFonts w:cs="宋体" w:asciiTheme="majorEastAsia" w:hAnsiTheme="majorEastAsia" w:eastAsiaTheme="majorEastAsia"/>
              <w:bCs/>
              <w:szCs w:val="24"/>
              <w:lang w:val="en-US" w:eastAsia="zh-CN" w:bidi="ar-SA"/>
            </w:rPr>
            <w:t>14.</w:t>
          </w:r>
          <w:r>
            <w:rPr>
              <w:rFonts w:hint="eastAsia"/>
            </w:rPr>
            <w:t>《电子商业汇票业务管理办法》</w:t>
          </w:r>
          <w:r>
            <w:tab/>
          </w:r>
          <w:r>
            <w:fldChar w:fldCharType="begin"/>
          </w:r>
          <w:r>
            <w:instrText xml:space="preserve"> PAGEREF _Toc27383 \h </w:instrText>
          </w:r>
          <w:r>
            <w:fldChar w:fldCharType="separate"/>
          </w:r>
          <w:r>
            <w:t>137</w:t>
          </w:r>
          <w:r>
            <w:fldChar w:fldCharType="end"/>
          </w:r>
          <w:r>
            <w:fldChar w:fldCharType="end"/>
          </w:r>
        </w:p>
        <w:p>
          <w:pPr>
            <w:pStyle w:val="11"/>
            <w:tabs>
              <w:tab w:val="right" w:leader="dot" w:pos="8306"/>
            </w:tabs>
          </w:pPr>
          <w:r>
            <w:fldChar w:fldCharType="begin"/>
          </w:r>
          <w:r>
            <w:instrText xml:space="preserve"> HYPERLINK \l _Toc31792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_Toc31792 \h </w:instrText>
          </w:r>
          <w:r>
            <w:fldChar w:fldCharType="separate"/>
          </w:r>
          <w:r>
            <w:t>137</w:t>
          </w:r>
          <w:r>
            <w:fldChar w:fldCharType="end"/>
          </w:r>
          <w:r>
            <w:fldChar w:fldCharType="end"/>
          </w:r>
        </w:p>
        <w:p>
          <w:pPr>
            <w:pStyle w:val="11"/>
            <w:tabs>
              <w:tab w:val="right" w:leader="dot" w:pos="8306"/>
            </w:tabs>
          </w:pPr>
          <w:r>
            <w:fldChar w:fldCharType="begin"/>
          </w:r>
          <w:r>
            <w:instrText xml:space="preserve"> HYPERLINK \l _Toc22461 </w:instrText>
          </w:r>
          <w:r>
            <w:fldChar w:fldCharType="separate"/>
          </w:r>
          <w:r>
            <w:rPr>
              <w:rFonts w:hint="eastAsia" w:cs="宋体" w:asciiTheme="majorEastAsia" w:hAnsiTheme="majorEastAsia" w:eastAsiaTheme="majorEastAsia"/>
              <w:bCs/>
            </w:rPr>
            <w:t>第二章基本规定</w:t>
          </w:r>
          <w:r>
            <w:tab/>
          </w:r>
          <w:r>
            <w:fldChar w:fldCharType="begin"/>
          </w:r>
          <w:r>
            <w:instrText xml:space="preserve"> PAGEREF _Toc22461 \h </w:instrText>
          </w:r>
          <w:r>
            <w:fldChar w:fldCharType="separate"/>
          </w:r>
          <w:r>
            <w:t>139</w:t>
          </w:r>
          <w:r>
            <w:fldChar w:fldCharType="end"/>
          </w:r>
          <w:r>
            <w:fldChar w:fldCharType="end"/>
          </w:r>
        </w:p>
        <w:p>
          <w:pPr>
            <w:pStyle w:val="11"/>
            <w:tabs>
              <w:tab w:val="right" w:leader="dot" w:pos="8306"/>
            </w:tabs>
          </w:pPr>
          <w:r>
            <w:fldChar w:fldCharType="begin"/>
          </w:r>
          <w:r>
            <w:instrText xml:space="preserve"> HYPERLINK \l _Toc28572 </w:instrText>
          </w:r>
          <w:r>
            <w:fldChar w:fldCharType="separate"/>
          </w:r>
          <w:r>
            <w:rPr>
              <w:rFonts w:hint="eastAsia" w:cs="宋体" w:asciiTheme="majorEastAsia" w:hAnsiTheme="majorEastAsia" w:eastAsiaTheme="majorEastAsia"/>
              <w:bCs/>
            </w:rPr>
            <w:t>第三章票据行为</w:t>
          </w:r>
          <w:r>
            <w:tab/>
          </w:r>
          <w:r>
            <w:fldChar w:fldCharType="begin"/>
          </w:r>
          <w:r>
            <w:instrText xml:space="preserve"> PAGEREF _Toc28572 \h </w:instrText>
          </w:r>
          <w:r>
            <w:fldChar w:fldCharType="separate"/>
          </w:r>
          <w:r>
            <w:t>141</w:t>
          </w:r>
          <w:r>
            <w:fldChar w:fldCharType="end"/>
          </w:r>
          <w:r>
            <w:fldChar w:fldCharType="end"/>
          </w:r>
        </w:p>
        <w:p>
          <w:pPr>
            <w:pStyle w:val="11"/>
            <w:tabs>
              <w:tab w:val="right" w:leader="dot" w:pos="8306"/>
            </w:tabs>
          </w:pPr>
          <w:r>
            <w:fldChar w:fldCharType="begin"/>
          </w:r>
          <w:r>
            <w:instrText xml:space="preserve"> HYPERLINK \l _Toc24538 </w:instrText>
          </w:r>
          <w:r>
            <w:fldChar w:fldCharType="separate"/>
          </w:r>
          <w:r>
            <w:rPr>
              <w:rFonts w:hint="eastAsia" w:cs="宋体" w:asciiTheme="majorEastAsia" w:hAnsiTheme="majorEastAsia" w:eastAsiaTheme="majorEastAsia"/>
              <w:bCs/>
            </w:rPr>
            <w:t>第四章信息查询</w:t>
          </w:r>
          <w:r>
            <w:tab/>
          </w:r>
          <w:r>
            <w:fldChar w:fldCharType="begin"/>
          </w:r>
          <w:r>
            <w:instrText xml:space="preserve"> PAGEREF _Toc24538 \h </w:instrText>
          </w:r>
          <w:r>
            <w:fldChar w:fldCharType="separate"/>
          </w:r>
          <w:r>
            <w:t>150</w:t>
          </w:r>
          <w:r>
            <w:fldChar w:fldCharType="end"/>
          </w:r>
          <w:r>
            <w:fldChar w:fldCharType="end"/>
          </w:r>
        </w:p>
        <w:p>
          <w:pPr>
            <w:pStyle w:val="11"/>
            <w:tabs>
              <w:tab w:val="right" w:leader="dot" w:pos="8306"/>
            </w:tabs>
          </w:pPr>
          <w:r>
            <w:fldChar w:fldCharType="begin"/>
          </w:r>
          <w:r>
            <w:instrText xml:space="preserve"> HYPERLINK \l _Toc321 </w:instrText>
          </w:r>
          <w:r>
            <w:fldChar w:fldCharType="separate"/>
          </w:r>
          <w:r>
            <w:rPr>
              <w:rFonts w:hint="eastAsia" w:cs="宋体" w:asciiTheme="majorEastAsia" w:hAnsiTheme="majorEastAsia" w:eastAsiaTheme="majorEastAsia"/>
              <w:bCs/>
            </w:rPr>
            <w:t>第五章法律责任</w:t>
          </w:r>
          <w:r>
            <w:tab/>
          </w:r>
          <w:r>
            <w:fldChar w:fldCharType="begin"/>
          </w:r>
          <w:r>
            <w:instrText xml:space="preserve"> PAGEREF _Toc321 \h </w:instrText>
          </w:r>
          <w:r>
            <w:fldChar w:fldCharType="separate"/>
          </w:r>
          <w:r>
            <w:t>151</w:t>
          </w:r>
          <w:r>
            <w:fldChar w:fldCharType="end"/>
          </w:r>
          <w:r>
            <w:fldChar w:fldCharType="end"/>
          </w:r>
        </w:p>
        <w:p>
          <w:pPr>
            <w:pStyle w:val="11"/>
            <w:tabs>
              <w:tab w:val="right" w:leader="dot" w:pos="8306"/>
            </w:tabs>
          </w:pPr>
          <w:r>
            <w:fldChar w:fldCharType="begin"/>
          </w:r>
          <w:r>
            <w:instrText xml:space="preserve"> HYPERLINK \l _Toc14748 </w:instrText>
          </w:r>
          <w:r>
            <w:fldChar w:fldCharType="separate"/>
          </w:r>
          <w:r>
            <w:rPr>
              <w:rFonts w:hint="eastAsia" w:cs="宋体" w:asciiTheme="majorEastAsia" w:hAnsiTheme="majorEastAsia" w:eastAsiaTheme="majorEastAsia"/>
              <w:bCs/>
            </w:rPr>
            <w:t>第六章附则</w:t>
          </w:r>
          <w:r>
            <w:tab/>
          </w:r>
          <w:r>
            <w:fldChar w:fldCharType="begin"/>
          </w:r>
          <w:r>
            <w:instrText xml:space="preserve"> PAGEREF _Toc14748 \h </w:instrText>
          </w:r>
          <w:r>
            <w:fldChar w:fldCharType="separate"/>
          </w:r>
          <w:r>
            <w:t>153</w:t>
          </w:r>
          <w:r>
            <w:fldChar w:fldCharType="end"/>
          </w:r>
          <w:r>
            <w:fldChar w:fldCharType="end"/>
          </w:r>
        </w:p>
        <w:p>
          <w:pPr>
            <w:pStyle w:val="11"/>
            <w:tabs>
              <w:tab w:val="right" w:leader="dot" w:pos="8306"/>
            </w:tabs>
          </w:pPr>
          <w:r>
            <w:fldChar w:fldCharType="begin"/>
          </w:r>
          <w:r>
            <w:instrText xml:space="preserve"> HYPERLINK \l _Toc8714 </w:instrText>
          </w:r>
          <w:r>
            <w:fldChar w:fldCharType="separate"/>
          </w:r>
          <w:r>
            <w:rPr>
              <w:rFonts w:cs="宋体" w:asciiTheme="majorEastAsia" w:hAnsiTheme="majorEastAsia" w:eastAsiaTheme="majorEastAsia"/>
              <w:bCs/>
              <w:szCs w:val="24"/>
              <w:lang w:val="en-US" w:eastAsia="zh-CN" w:bidi="ar-SA"/>
            </w:rPr>
            <w:t>15.</w:t>
          </w:r>
          <w:r>
            <w:rPr>
              <w:rFonts w:hint="eastAsia"/>
            </w:rPr>
            <w:t>《流动资金贷款管理暂行办法》</w:t>
          </w:r>
          <w:r>
            <w:tab/>
          </w:r>
          <w:r>
            <w:fldChar w:fldCharType="begin"/>
          </w:r>
          <w:r>
            <w:instrText xml:space="preserve"> PAGEREF _Toc8714 \h </w:instrText>
          </w:r>
          <w:r>
            <w:fldChar w:fldCharType="separate"/>
          </w:r>
          <w:r>
            <w:t>154</w:t>
          </w:r>
          <w:r>
            <w:fldChar w:fldCharType="end"/>
          </w:r>
          <w:r>
            <w:fldChar w:fldCharType="end"/>
          </w:r>
        </w:p>
        <w:p>
          <w:pPr>
            <w:pStyle w:val="11"/>
            <w:tabs>
              <w:tab w:val="right" w:leader="dot" w:pos="8306"/>
            </w:tabs>
          </w:pPr>
          <w:r>
            <w:fldChar w:fldCharType="begin"/>
          </w:r>
          <w:r>
            <w:instrText xml:space="preserve"> HYPERLINK \l _Toc16048 </w:instrText>
          </w:r>
          <w:r>
            <w:fldChar w:fldCharType="separate"/>
          </w:r>
          <w:r>
            <w:rPr>
              <w:rFonts w:hint="eastAsia" w:cs="宋体" w:asciiTheme="majorEastAsia" w:hAnsiTheme="majorEastAsia" w:eastAsiaTheme="majorEastAsia"/>
              <w:bCs/>
            </w:rPr>
            <w:t>第一章　总　　则</w:t>
          </w:r>
          <w:r>
            <w:tab/>
          </w:r>
          <w:r>
            <w:fldChar w:fldCharType="begin"/>
          </w:r>
          <w:r>
            <w:instrText xml:space="preserve"> PAGEREF _Toc16048 \h </w:instrText>
          </w:r>
          <w:r>
            <w:fldChar w:fldCharType="separate"/>
          </w:r>
          <w:r>
            <w:t>154</w:t>
          </w:r>
          <w:r>
            <w:fldChar w:fldCharType="end"/>
          </w:r>
          <w:r>
            <w:fldChar w:fldCharType="end"/>
          </w:r>
        </w:p>
        <w:p>
          <w:pPr>
            <w:pStyle w:val="11"/>
            <w:tabs>
              <w:tab w:val="right" w:leader="dot" w:pos="8306"/>
            </w:tabs>
          </w:pPr>
          <w:r>
            <w:fldChar w:fldCharType="begin"/>
          </w:r>
          <w:r>
            <w:instrText xml:space="preserve"> HYPERLINK \l _Toc1948 </w:instrText>
          </w:r>
          <w:r>
            <w:fldChar w:fldCharType="separate"/>
          </w:r>
          <w:r>
            <w:rPr>
              <w:rFonts w:hint="eastAsia" w:cs="宋体" w:asciiTheme="majorEastAsia" w:hAnsiTheme="majorEastAsia" w:eastAsiaTheme="majorEastAsia"/>
              <w:bCs/>
            </w:rPr>
            <w:t>第二章　受理与调查</w:t>
          </w:r>
          <w:r>
            <w:tab/>
          </w:r>
          <w:r>
            <w:fldChar w:fldCharType="begin"/>
          </w:r>
          <w:r>
            <w:instrText xml:space="preserve"> PAGEREF _Toc1948 \h </w:instrText>
          </w:r>
          <w:r>
            <w:fldChar w:fldCharType="separate"/>
          </w:r>
          <w:r>
            <w:t>155</w:t>
          </w:r>
          <w:r>
            <w:fldChar w:fldCharType="end"/>
          </w:r>
          <w:r>
            <w:fldChar w:fldCharType="end"/>
          </w:r>
        </w:p>
        <w:p>
          <w:pPr>
            <w:pStyle w:val="11"/>
            <w:tabs>
              <w:tab w:val="right" w:leader="dot" w:pos="8306"/>
            </w:tabs>
          </w:pPr>
          <w:r>
            <w:fldChar w:fldCharType="begin"/>
          </w:r>
          <w:r>
            <w:instrText xml:space="preserve"> HYPERLINK \l _Toc11820 </w:instrText>
          </w:r>
          <w:r>
            <w:fldChar w:fldCharType="separate"/>
          </w:r>
          <w:r>
            <w:rPr>
              <w:rFonts w:hint="eastAsia" w:cs="宋体" w:asciiTheme="majorEastAsia" w:hAnsiTheme="majorEastAsia" w:eastAsiaTheme="majorEastAsia"/>
              <w:bCs/>
            </w:rPr>
            <w:t>第三章　风险评价与审批</w:t>
          </w:r>
          <w:r>
            <w:tab/>
          </w:r>
          <w:r>
            <w:fldChar w:fldCharType="begin"/>
          </w:r>
          <w:r>
            <w:instrText xml:space="preserve"> PAGEREF _Toc11820 \h </w:instrText>
          </w:r>
          <w:r>
            <w:fldChar w:fldCharType="separate"/>
          </w:r>
          <w:r>
            <w:t>156</w:t>
          </w:r>
          <w:r>
            <w:fldChar w:fldCharType="end"/>
          </w:r>
          <w:r>
            <w:fldChar w:fldCharType="end"/>
          </w:r>
        </w:p>
        <w:p>
          <w:pPr>
            <w:pStyle w:val="11"/>
            <w:tabs>
              <w:tab w:val="right" w:leader="dot" w:pos="8306"/>
            </w:tabs>
          </w:pPr>
          <w:r>
            <w:fldChar w:fldCharType="begin"/>
          </w:r>
          <w:r>
            <w:instrText xml:space="preserve"> HYPERLINK \l _Toc23728 </w:instrText>
          </w:r>
          <w:r>
            <w:fldChar w:fldCharType="separate"/>
          </w:r>
          <w:r>
            <w:rPr>
              <w:rFonts w:hint="eastAsia" w:cs="宋体" w:asciiTheme="majorEastAsia" w:hAnsiTheme="majorEastAsia" w:eastAsiaTheme="majorEastAsia"/>
              <w:bCs/>
            </w:rPr>
            <w:t>第四章　合同签订</w:t>
          </w:r>
          <w:r>
            <w:tab/>
          </w:r>
          <w:r>
            <w:fldChar w:fldCharType="begin"/>
          </w:r>
          <w:r>
            <w:instrText xml:space="preserve"> PAGEREF _Toc23728 \h </w:instrText>
          </w:r>
          <w:r>
            <w:fldChar w:fldCharType="separate"/>
          </w:r>
          <w:r>
            <w:t>157</w:t>
          </w:r>
          <w:r>
            <w:fldChar w:fldCharType="end"/>
          </w:r>
          <w:r>
            <w:fldChar w:fldCharType="end"/>
          </w:r>
        </w:p>
        <w:p>
          <w:pPr>
            <w:pStyle w:val="11"/>
            <w:tabs>
              <w:tab w:val="right" w:leader="dot" w:pos="8306"/>
            </w:tabs>
          </w:pPr>
          <w:r>
            <w:fldChar w:fldCharType="begin"/>
          </w:r>
          <w:r>
            <w:instrText xml:space="preserve"> HYPERLINK \l _Toc14328 </w:instrText>
          </w:r>
          <w:r>
            <w:fldChar w:fldCharType="separate"/>
          </w:r>
          <w:r>
            <w:rPr>
              <w:rFonts w:hint="eastAsia" w:cs="宋体" w:asciiTheme="majorEastAsia" w:hAnsiTheme="majorEastAsia" w:eastAsiaTheme="majorEastAsia"/>
              <w:bCs/>
            </w:rPr>
            <w:t>第五章　发放和支付</w:t>
          </w:r>
          <w:r>
            <w:tab/>
          </w:r>
          <w:r>
            <w:fldChar w:fldCharType="begin"/>
          </w:r>
          <w:r>
            <w:instrText xml:space="preserve"> PAGEREF _Toc14328 \h </w:instrText>
          </w:r>
          <w:r>
            <w:fldChar w:fldCharType="separate"/>
          </w:r>
          <w:r>
            <w:t>158</w:t>
          </w:r>
          <w:r>
            <w:fldChar w:fldCharType="end"/>
          </w:r>
          <w:r>
            <w:fldChar w:fldCharType="end"/>
          </w:r>
        </w:p>
        <w:p>
          <w:pPr>
            <w:pStyle w:val="11"/>
            <w:tabs>
              <w:tab w:val="right" w:leader="dot" w:pos="8306"/>
            </w:tabs>
          </w:pPr>
          <w:r>
            <w:fldChar w:fldCharType="begin"/>
          </w:r>
          <w:r>
            <w:instrText xml:space="preserve"> HYPERLINK \l _Toc18777 </w:instrText>
          </w:r>
          <w:r>
            <w:fldChar w:fldCharType="separate"/>
          </w:r>
          <w:r>
            <w:rPr>
              <w:rFonts w:hint="eastAsia" w:cs="宋体" w:asciiTheme="majorEastAsia" w:hAnsiTheme="majorEastAsia" w:eastAsiaTheme="majorEastAsia"/>
              <w:bCs/>
            </w:rPr>
            <w:t>第六章　贷后管理</w:t>
          </w:r>
          <w:r>
            <w:tab/>
          </w:r>
          <w:r>
            <w:fldChar w:fldCharType="begin"/>
          </w:r>
          <w:r>
            <w:instrText xml:space="preserve"> PAGEREF _Toc18777 \h </w:instrText>
          </w:r>
          <w:r>
            <w:fldChar w:fldCharType="separate"/>
          </w:r>
          <w:r>
            <w:t>159</w:t>
          </w:r>
          <w:r>
            <w:fldChar w:fldCharType="end"/>
          </w:r>
          <w:r>
            <w:fldChar w:fldCharType="end"/>
          </w:r>
        </w:p>
        <w:p>
          <w:pPr>
            <w:pStyle w:val="11"/>
            <w:tabs>
              <w:tab w:val="right" w:leader="dot" w:pos="8306"/>
            </w:tabs>
          </w:pPr>
          <w:r>
            <w:fldChar w:fldCharType="begin"/>
          </w:r>
          <w:r>
            <w:instrText xml:space="preserve"> HYPERLINK \l _Toc25721 </w:instrText>
          </w:r>
          <w:r>
            <w:fldChar w:fldCharType="separate"/>
          </w:r>
          <w:r>
            <w:rPr>
              <w:rFonts w:hint="eastAsia" w:cs="宋体" w:asciiTheme="majorEastAsia" w:hAnsiTheme="majorEastAsia" w:eastAsiaTheme="majorEastAsia"/>
              <w:bCs/>
            </w:rPr>
            <w:t>第七章　法律责任</w:t>
          </w:r>
          <w:r>
            <w:tab/>
          </w:r>
          <w:r>
            <w:fldChar w:fldCharType="begin"/>
          </w:r>
          <w:r>
            <w:instrText xml:space="preserve"> PAGEREF _Toc25721 \h </w:instrText>
          </w:r>
          <w:r>
            <w:fldChar w:fldCharType="separate"/>
          </w:r>
          <w:r>
            <w:t>160</w:t>
          </w:r>
          <w:r>
            <w:fldChar w:fldCharType="end"/>
          </w:r>
          <w:r>
            <w:fldChar w:fldCharType="end"/>
          </w:r>
        </w:p>
        <w:p>
          <w:pPr>
            <w:pStyle w:val="11"/>
            <w:tabs>
              <w:tab w:val="right" w:leader="dot" w:pos="8306"/>
            </w:tabs>
          </w:pPr>
          <w:r>
            <w:fldChar w:fldCharType="begin"/>
          </w:r>
          <w:r>
            <w:instrText xml:space="preserve"> HYPERLINK \l _Toc14973 </w:instrText>
          </w:r>
          <w:r>
            <w:fldChar w:fldCharType="separate"/>
          </w:r>
          <w:r>
            <w:rPr>
              <w:rFonts w:hint="eastAsia" w:cs="宋体" w:asciiTheme="majorEastAsia" w:hAnsiTheme="majorEastAsia" w:eastAsiaTheme="majorEastAsia"/>
              <w:bCs/>
            </w:rPr>
            <w:t>第八章　附　　则</w:t>
          </w:r>
          <w:r>
            <w:tab/>
          </w:r>
          <w:r>
            <w:fldChar w:fldCharType="begin"/>
          </w:r>
          <w:r>
            <w:instrText xml:space="preserve"> PAGEREF _Toc14973 \h </w:instrText>
          </w:r>
          <w:r>
            <w:fldChar w:fldCharType="separate"/>
          </w:r>
          <w:r>
            <w:t>161</w:t>
          </w:r>
          <w:r>
            <w:fldChar w:fldCharType="end"/>
          </w:r>
          <w:r>
            <w:fldChar w:fldCharType="end"/>
          </w:r>
        </w:p>
        <w:p>
          <w:pPr>
            <w:pStyle w:val="11"/>
            <w:tabs>
              <w:tab w:val="right" w:leader="dot" w:pos="8306"/>
            </w:tabs>
          </w:pPr>
          <w:r>
            <w:fldChar w:fldCharType="begin"/>
          </w:r>
          <w:r>
            <w:instrText xml:space="preserve"> HYPERLINK \l _Toc17074 </w:instrText>
          </w:r>
          <w:r>
            <w:fldChar w:fldCharType="separate"/>
          </w:r>
          <w:r>
            <w:rPr>
              <w:rFonts w:hint="eastAsia" w:cs="宋体" w:asciiTheme="majorEastAsia" w:hAnsiTheme="majorEastAsia" w:eastAsiaTheme="majorEastAsia"/>
              <w:bCs/>
            </w:rPr>
            <w:t>附件</w:t>
          </w:r>
          <w:r>
            <w:tab/>
          </w:r>
          <w:r>
            <w:fldChar w:fldCharType="begin"/>
          </w:r>
          <w:r>
            <w:instrText xml:space="preserve"> PAGEREF _Toc17074 \h </w:instrText>
          </w:r>
          <w:r>
            <w:fldChar w:fldCharType="separate"/>
          </w:r>
          <w:r>
            <w:t>162</w:t>
          </w:r>
          <w:r>
            <w:fldChar w:fldCharType="end"/>
          </w:r>
          <w:r>
            <w:fldChar w:fldCharType="end"/>
          </w:r>
        </w:p>
        <w:p>
          <w:pPr>
            <w:pStyle w:val="11"/>
            <w:tabs>
              <w:tab w:val="right" w:leader="dot" w:pos="8306"/>
            </w:tabs>
          </w:pPr>
          <w:r>
            <w:fldChar w:fldCharType="begin"/>
          </w:r>
          <w:r>
            <w:instrText xml:space="preserve"> HYPERLINK \l _Toc18949 </w:instrText>
          </w:r>
          <w:r>
            <w:fldChar w:fldCharType="separate"/>
          </w:r>
          <w:r>
            <w:rPr>
              <w:rFonts w:cs="宋体" w:asciiTheme="majorEastAsia" w:hAnsiTheme="majorEastAsia" w:eastAsiaTheme="majorEastAsia"/>
              <w:bCs/>
              <w:szCs w:val="24"/>
              <w:lang w:val="en-US" w:eastAsia="zh-CN" w:bidi="ar-SA"/>
            </w:rPr>
            <w:t>16.</w:t>
          </w:r>
          <w:r>
            <w:rPr>
              <w:rFonts w:hint="eastAsia"/>
            </w:rPr>
            <w:t>《个人贷款管理暂行办法》</w:t>
          </w:r>
          <w:r>
            <w:tab/>
          </w:r>
          <w:r>
            <w:fldChar w:fldCharType="begin"/>
          </w:r>
          <w:r>
            <w:instrText xml:space="preserve"> PAGEREF _Toc18949 \h </w:instrText>
          </w:r>
          <w:r>
            <w:fldChar w:fldCharType="separate"/>
          </w:r>
          <w:r>
            <w:t>163</w:t>
          </w:r>
          <w:r>
            <w:fldChar w:fldCharType="end"/>
          </w:r>
          <w:r>
            <w:fldChar w:fldCharType="end"/>
          </w:r>
        </w:p>
        <w:p>
          <w:pPr>
            <w:pStyle w:val="11"/>
            <w:tabs>
              <w:tab w:val="right" w:leader="dot" w:pos="8306"/>
            </w:tabs>
          </w:pPr>
          <w:r>
            <w:fldChar w:fldCharType="begin"/>
          </w:r>
          <w:r>
            <w:instrText xml:space="preserve"> HYPERLINK \l _Toc22571 </w:instrText>
          </w:r>
          <w:r>
            <w:fldChar w:fldCharType="separate"/>
          </w:r>
          <w:r>
            <w:rPr>
              <w:rFonts w:hint="eastAsia" w:cs="宋体" w:asciiTheme="majorEastAsia" w:hAnsiTheme="majorEastAsia" w:eastAsiaTheme="majorEastAsia"/>
              <w:bCs/>
            </w:rPr>
            <w:t>第一章　总　　则</w:t>
          </w:r>
          <w:r>
            <w:tab/>
          </w:r>
          <w:r>
            <w:fldChar w:fldCharType="begin"/>
          </w:r>
          <w:r>
            <w:instrText xml:space="preserve"> PAGEREF _Toc22571 \h </w:instrText>
          </w:r>
          <w:r>
            <w:fldChar w:fldCharType="separate"/>
          </w:r>
          <w:r>
            <w:t>163</w:t>
          </w:r>
          <w:r>
            <w:fldChar w:fldCharType="end"/>
          </w:r>
          <w:r>
            <w:fldChar w:fldCharType="end"/>
          </w:r>
        </w:p>
        <w:p>
          <w:pPr>
            <w:pStyle w:val="11"/>
            <w:tabs>
              <w:tab w:val="right" w:leader="dot" w:pos="8306"/>
            </w:tabs>
          </w:pPr>
          <w:r>
            <w:fldChar w:fldCharType="begin"/>
          </w:r>
          <w:r>
            <w:instrText xml:space="preserve"> HYPERLINK \l _Toc30090 </w:instrText>
          </w:r>
          <w:r>
            <w:fldChar w:fldCharType="separate"/>
          </w:r>
          <w:r>
            <w:rPr>
              <w:rFonts w:hint="eastAsia" w:cs="宋体" w:asciiTheme="majorEastAsia" w:hAnsiTheme="majorEastAsia" w:eastAsiaTheme="majorEastAsia"/>
              <w:bCs/>
            </w:rPr>
            <w:t>第二章　受理与调查</w:t>
          </w:r>
          <w:r>
            <w:tab/>
          </w:r>
          <w:r>
            <w:fldChar w:fldCharType="begin"/>
          </w:r>
          <w:r>
            <w:instrText xml:space="preserve"> PAGEREF _Toc30090 \h </w:instrText>
          </w:r>
          <w:r>
            <w:fldChar w:fldCharType="separate"/>
          </w:r>
          <w:r>
            <w:t>164</w:t>
          </w:r>
          <w:r>
            <w:fldChar w:fldCharType="end"/>
          </w:r>
          <w:r>
            <w:fldChar w:fldCharType="end"/>
          </w:r>
        </w:p>
        <w:p>
          <w:pPr>
            <w:pStyle w:val="11"/>
            <w:tabs>
              <w:tab w:val="right" w:leader="dot" w:pos="8306"/>
            </w:tabs>
          </w:pPr>
          <w:r>
            <w:fldChar w:fldCharType="begin"/>
          </w:r>
          <w:r>
            <w:instrText xml:space="preserve"> HYPERLINK \l _Toc26982 </w:instrText>
          </w:r>
          <w:r>
            <w:fldChar w:fldCharType="separate"/>
          </w:r>
          <w:r>
            <w:rPr>
              <w:rFonts w:hint="eastAsia" w:cs="宋体" w:asciiTheme="majorEastAsia" w:hAnsiTheme="majorEastAsia" w:eastAsiaTheme="majorEastAsia"/>
              <w:bCs/>
            </w:rPr>
            <w:t>第三章　风险评价与审批</w:t>
          </w:r>
          <w:r>
            <w:tab/>
          </w:r>
          <w:r>
            <w:fldChar w:fldCharType="begin"/>
          </w:r>
          <w:r>
            <w:instrText xml:space="preserve"> PAGEREF _Toc26982 \h </w:instrText>
          </w:r>
          <w:r>
            <w:fldChar w:fldCharType="separate"/>
          </w:r>
          <w:r>
            <w:t>166</w:t>
          </w:r>
          <w:r>
            <w:fldChar w:fldCharType="end"/>
          </w:r>
          <w:r>
            <w:fldChar w:fldCharType="end"/>
          </w:r>
        </w:p>
        <w:p>
          <w:pPr>
            <w:pStyle w:val="11"/>
            <w:tabs>
              <w:tab w:val="right" w:leader="dot" w:pos="8306"/>
            </w:tabs>
          </w:pPr>
          <w:r>
            <w:fldChar w:fldCharType="begin"/>
          </w:r>
          <w:r>
            <w:instrText xml:space="preserve"> HYPERLINK \l _Toc32663 </w:instrText>
          </w:r>
          <w:r>
            <w:fldChar w:fldCharType="separate"/>
          </w:r>
          <w:r>
            <w:rPr>
              <w:rFonts w:hint="eastAsia" w:cs="宋体" w:asciiTheme="majorEastAsia" w:hAnsiTheme="majorEastAsia" w:eastAsiaTheme="majorEastAsia"/>
              <w:bCs/>
            </w:rPr>
            <w:t>第四章　协议与发放</w:t>
          </w:r>
          <w:r>
            <w:tab/>
          </w:r>
          <w:r>
            <w:fldChar w:fldCharType="begin"/>
          </w:r>
          <w:r>
            <w:instrText xml:space="preserve"> PAGEREF _Toc32663 \h </w:instrText>
          </w:r>
          <w:r>
            <w:fldChar w:fldCharType="separate"/>
          </w:r>
          <w:r>
            <w:t>167</w:t>
          </w:r>
          <w:r>
            <w:fldChar w:fldCharType="end"/>
          </w:r>
          <w:r>
            <w:fldChar w:fldCharType="end"/>
          </w:r>
        </w:p>
        <w:p>
          <w:pPr>
            <w:pStyle w:val="11"/>
            <w:tabs>
              <w:tab w:val="right" w:leader="dot" w:pos="8306"/>
            </w:tabs>
          </w:pPr>
          <w:r>
            <w:fldChar w:fldCharType="begin"/>
          </w:r>
          <w:r>
            <w:instrText xml:space="preserve"> HYPERLINK \l _Toc9898 </w:instrText>
          </w:r>
          <w:r>
            <w:fldChar w:fldCharType="separate"/>
          </w:r>
          <w:r>
            <w:rPr>
              <w:rFonts w:hint="eastAsia" w:cs="宋体" w:asciiTheme="majorEastAsia" w:hAnsiTheme="majorEastAsia" w:eastAsiaTheme="majorEastAsia"/>
              <w:bCs/>
            </w:rPr>
            <w:t>第五章　支付管理</w:t>
          </w:r>
          <w:r>
            <w:tab/>
          </w:r>
          <w:r>
            <w:fldChar w:fldCharType="begin"/>
          </w:r>
          <w:r>
            <w:instrText xml:space="preserve"> PAGEREF _Toc9898 \h </w:instrText>
          </w:r>
          <w:r>
            <w:fldChar w:fldCharType="separate"/>
          </w:r>
          <w:r>
            <w:t>168</w:t>
          </w:r>
          <w:r>
            <w:fldChar w:fldCharType="end"/>
          </w:r>
          <w:r>
            <w:fldChar w:fldCharType="end"/>
          </w:r>
        </w:p>
        <w:p>
          <w:pPr>
            <w:pStyle w:val="11"/>
            <w:tabs>
              <w:tab w:val="right" w:leader="dot" w:pos="8306"/>
            </w:tabs>
          </w:pPr>
          <w:r>
            <w:fldChar w:fldCharType="begin"/>
          </w:r>
          <w:r>
            <w:instrText xml:space="preserve"> HYPERLINK \l _Toc30635 </w:instrText>
          </w:r>
          <w:r>
            <w:fldChar w:fldCharType="separate"/>
          </w:r>
          <w:r>
            <w:rPr>
              <w:rFonts w:hint="eastAsia" w:cs="宋体" w:asciiTheme="majorEastAsia" w:hAnsiTheme="majorEastAsia" w:eastAsiaTheme="majorEastAsia"/>
              <w:bCs/>
            </w:rPr>
            <w:t>第六章　贷后管理</w:t>
          </w:r>
          <w:r>
            <w:tab/>
          </w:r>
          <w:r>
            <w:fldChar w:fldCharType="begin"/>
          </w:r>
          <w:r>
            <w:instrText xml:space="preserve"> PAGEREF _Toc30635 \h </w:instrText>
          </w:r>
          <w:r>
            <w:fldChar w:fldCharType="separate"/>
          </w:r>
          <w:r>
            <w:t>169</w:t>
          </w:r>
          <w:r>
            <w:fldChar w:fldCharType="end"/>
          </w:r>
          <w:r>
            <w:fldChar w:fldCharType="end"/>
          </w:r>
        </w:p>
        <w:p>
          <w:pPr>
            <w:pStyle w:val="11"/>
            <w:tabs>
              <w:tab w:val="right" w:leader="dot" w:pos="8306"/>
            </w:tabs>
          </w:pPr>
          <w:r>
            <w:fldChar w:fldCharType="begin"/>
          </w:r>
          <w:r>
            <w:instrText xml:space="preserve"> HYPERLINK \l _Toc26727 </w:instrText>
          </w:r>
          <w:r>
            <w:fldChar w:fldCharType="separate"/>
          </w:r>
          <w:r>
            <w:rPr>
              <w:rFonts w:hint="eastAsia" w:cs="宋体" w:asciiTheme="majorEastAsia" w:hAnsiTheme="majorEastAsia" w:eastAsiaTheme="majorEastAsia"/>
              <w:bCs/>
            </w:rPr>
            <w:t>第七章　法律责任</w:t>
          </w:r>
          <w:r>
            <w:tab/>
          </w:r>
          <w:r>
            <w:fldChar w:fldCharType="begin"/>
          </w:r>
          <w:r>
            <w:instrText xml:space="preserve"> PAGEREF _Toc26727 \h </w:instrText>
          </w:r>
          <w:r>
            <w:fldChar w:fldCharType="separate"/>
          </w:r>
          <w:r>
            <w:t>170</w:t>
          </w:r>
          <w:r>
            <w:fldChar w:fldCharType="end"/>
          </w:r>
          <w:r>
            <w:fldChar w:fldCharType="end"/>
          </w:r>
        </w:p>
        <w:p>
          <w:pPr>
            <w:pStyle w:val="11"/>
            <w:tabs>
              <w:tab w:val="right" w:leader="dot" w:pos="8306"/>
            </w:tabs>
          </w:pPr>
          <w:r>
            <w:fldChar w:fldCharType="begin"/>
          </w:r>
          <w:r>
            <w:instrText xml:space="preserve"> HYPERLINK \l _Toc1957 </w:instrText>
          </w:r>
          <w:r>
            <w:fldChar w:fldCharType="separate"/>
          </w:r>
          <w:r>
            <w:rPr>
              <w:rFonts w:hint="eastAsia" w:cs="宋体" w:asciiTheme="majorEastAsia" w:hAnsiTheme="majorEastAsia" w:eastAsiaTheme="majorEastAsia"/>
              <w:bCs/>
            </w:rPr>
            <w:t>第八章　附　　则</w:t>
          </w:r>
          <w:r>
            <w:tab/>
          </w:r>
          <w:r>
            <w:fldChar w:fldCharType="begin"/>
          </w:r>
          <w:r>
            <w:instrText xml:space="preserve"> PAGEREF _Toc1957 \h </w:instrText>
          </w:r>
          <w:r>
            <w:fldChar w:fldCharType="separate"/>
          </w:r>
          <w:r>
            <w:t>171</w:t>
          </w:r>
          <w:r>
            <w:fldChar w:fldCharType="end"/>
          </w:r>
          <w:r>
            <w:fldChar w:fldCharType="end"/>
          </w:r>
        </w:p>
        <w:p>
          <w:pPr>
            <w:pStyle w:val="11"/>
            <w:tabs>
              <w:tab w:val="right" w:leader="dot" w:pos="8306"/>
            </w:tabs>
          </w:pPr>
          <w:r>
            <w:fldChar w:fldCharType="begin"/>
          </w:r>
          <w:r>
            <w:instrText xml:space="preserve"> HYPERLINK \l _Toc16262 </w:instrText>
          </w:r>
          <w:r>
            <w:fldChar w:fldCharType="separate"/>
          </w:r>
          <w:r>
            <w:rPr>
              <w:rFonts w:cs="宋体" w:asciiTheme="majorEastAsia" w:hAnsiTheme="majorEastAsia" w:eastAsiaTheme="majorEastAsia"/>
              <w:bCs/>
              <w:szCs w:val="24"/>
              <w:lang w:val="en-US" w:eastAsia="zh-CN" w:bidi="ar-SA"/>
            </w:rPr>
            <w:t>17.</w:t>
          </w:r>
          <w:r>
            <w:rPr>
              <w:rFonts w:hint="eastAsia"/>
            </w:rPr>
            <w:t>《征信机构管理办法》</w:t>
          </w:r>
          <w:r>
            <w:tab/>
          </w:r>
          <w:r>
            <w:fldChar w:fldCharType="begin"/>
          </w:r>
          <w:r>
            <w:instrText xml:space="preserve"> PAGEREF _Toc16262 \h </w:instrText>
          </w:r>
          <w:r>
            <w:fldChar w:fldCharType="separate"/>
          </w:r>
          <w:r>
            <w:t>172</w:t>
          </w:r>
          <w:r>
            <w:fldChar w:fldCharType="end"/>
          </w:r>
          <w:r>
            <w:fldChar w:fldCharType="end"/>
          </w:r>
        </w:p>
        <w:p>
          <w:pPr>
            <w:pStyle w:val="11"/>
            <w:tabs>
              <w:tab w:val="right" w:leader="dot" w:pos="8306"/>
            </w:tabs>
          </w:pPr>
          <w:r>
            <w:fldChar w:fldCharType="begin"/>
          </w:r>
          <w:r>
            <w:instrText xml:space="preserve"> HYPERLINK \l _Toc22853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_Toc22853 \h </w:instrText>
          </w:r>
          <w:r>
            <w:fldChar w:fldCharType="separate"/>
          </w:r>
          <w:r>
            <w:t>172</w:t>
          </w:r>
          <w:r>
            <w:fldChar w:fldCharType="end"/>
          </w:r>
          <w:r>
            <w:fldChar w:fldCharType="end"/>
          </w:r>
        </w:p>
        <w:p>
          <w:pPr>
            <w:pStyle w:val="11"/>
            <w:tabs>
              <w:tab w:val="right" w:leader="dot" w:pos="8306"/>
            </w:tabs>
          </w:pPr>
          <w:r>
            <w:fldChar w:fldCharType="begin"/>
          </w:r>
          <w:r>
            <w:instrText xml:space="preserve"> HYPERLINK \l _Toc345 </w:instrText>
          </w:r>
          <w:r>
            <w:fldChar w:fldCharType="separate"/>
          </w:r>
          <w:r>
            <w:rPr>
              <w:rFonts w:hint="eastAsia" w:cs="宋体" w:asciiTheme="majorEastAsia" w:hAnsiTheme="majorEastAsia" w:eastAsiaTheme="majorEastAsia"/>
              <w:bCs/>
            </w:rPr>
            <w:t>第二章机构的设立、变更与终止</w:t>
          </w:r>
          <w:r>
            <w:tab/>
          </w:r>
          <w:r>
            <w:fldChar w:fldCharType="begin"/>
          </w:r>
          <w:r>
            <w:instrText xml:space="preserve"> PAGEREF _Toc345 \h </w:instrText>
          </w:r>
          <w:r>
            <w:fldChar w:fldCharType="separate"/>
          </w:r>
          <w:r>
            <w:t>173</w:t>
          </w:r>
          <w:r>
            <w:fldChar w:fldCharType="end"/>
          </w:r>
          <w:r>
            <w:fldChar w:fldCharType="end"/>
          </w:r>
        </w:p>
        <w:p>
          <w:pPr>
            <w:pStyle w:val="11"/>
            <w:tabs>
              <w:tab w:val="right" w:leader="dot" w:pos="8306"/>
            </w:tabs>
          </w:pPr>
          <w:r>
            <w:fldChar w:fldCharType="begin"/>
          </w:r>
          <w:r>
            <w:instrText xml:space="preserve"> HYPERLINK \l _Toc15576 </w:instrText>
          </w:r>
          <w:r>
            <w:fldChar w:fldCharType="separate"/>
          </w:r>
          <w:r>
            <w:rPr>
              <w:rFonts w:hint="eastAsia" w:cs="宋体" w:asciiTheme="majorEastAsia" w:hAnsiTheme="majorEastAsia" w:eastAsiaTheme="majorEastAsia"/>
              <w:bCs/>
            </w:rPr>
            <w:t>第三章高级任职人员管理</w:t>
          </w:r>
          <w:r>
            <w:tab/>
          </w:r>
          <w:r>
            <w:fldChar w:fldCharType="begin"/>
          </w:r>
          <w:r>
            <w:instrText xml:space="preserve"> PAGEREF _Toc15576 \h </w:instrText>
          </w:r>
          <w:r>
            <w:fldChar w:fldCharType="separate"/>
          </w:r>
          <w:r>
            <w:t>177</w:t>
          </w:r>
          <w:r>
            <w:fldChar w:fldCharType="end"/>
          </w:r>
          <w:r>
            <w:fldChar w:fldCharType="end"/>
          </w:r>
        </w:p>
        <w:p>
          <w:pPr>
            <w:pStyle w:val="11"/>
            <w:tabs>
              <w:tab w:val="right" w:leader="dot" w:pos="8306"/>
            </w:tabs>
          </w:pPr>
          <w:r>
            <w:fldChar w:fldCharType="begin"/>
          </w:r>
          <w:r>
            <w:instrText xml:space="preserve"> HYPERLINK \l _Toc29717 </w:instrText>
          </w:r>
          <w:r>
            <w:fldChar w:fldCharType="separate"/>
          </w:r>
          <w:r>
            <w:rPr>
              <w:rFonts w:hint="eastAsia" w:cs="宋体" w:asciiTheme="majorEastAsia" w:hAnsiTheme="majorEastAsia" w:eastAsiaTheme="majorEastAsia"/>
              <w:bCs/>
            </w:rPr>
            <w:t>第四章监督管理</w:t>
          </w:r>
          <w:r>
            <w:tab/>
          </w:r>
          <w:r>
            <w:fldChar w:fldCharType="begin"/>
          </w:r>
          <w:r>
            <w:instrText xml:space="preserve"> PAGEREF _Toc29717 \h </w:instrText>
          </w:r>
          <w:r>
            <w:fldChar w:fldCharType="separate"/>
          </w:r>
          <w:r>
            <w:t>179</w:t>
          </w:r>
          <w:r>
            <w:fldChar w:fldCharType="end"/>
          </w:r>
          <w:r>
            <w:fldChar w:fldCharType="end"/>
          </w:r>
        </w:p>
        <w:p>
          <w:pPr>
            <w:pStyle w:val="11"/>
            <w:tabs>
              <w:tab w:val="right" w:leader="dot" w:pos="8306"/>
            </w:tabs>
          </w:pPr>
          <w:r>
            <w:fldChar w:fldCharType="begin"/>
          </w:r>
          <w:r>
            <w:instrText xml:space="preserve"> HYPERLINK \l _Toc16991 </w:instrText>
          </w:r>
          <w:r>
            <w:fldChar w:fldCharType="separate"/>
          </w:r>
          <w:r>
            <w:rPr>
              <w:rFonts w:hint="eastAsia" w:cs="宋体" w:asciiTheme="majorEastAsia" w:hAnsiTheme="majorEastAsia" w:eastAsiaTheme="majorEastAsia"/>
              <w:bCs/>
            </w:rPr>
            <w:t>第五章罚则</w:t>
          </w:r>
          <w:r>
            <w:tab/>
          </w:r>
          <w:r>
            <w:fldChar w:fldCharType="begin"/>
          </w:r>
          <w:r>
            <w:instrText xml:space="preserve"> PAGEREF _Toc16991 \h </w:instrText>
          </w:r>
          <w:r>
            <w:fldChar w:fldCharType="separate"/>
          </w:r>
          <w:r>
            <w:t>180</w:t>
          </w:r>
          <w:r>
            <w:fldChar w:fldCharType="end"/>
          </w:r>
          <w:r>
            <w:fldChar w:fldCharType="end"/>
          </w:r>
        </w:p>
        <w:p>
          <w:pPr>
            <w:pStyle w:val="11"/>
            <w:tabs>
              <w:tab w:val="right" w:leader="dot" w:pos="8306"/>
            </w:tabs>
          </w:pPr>
          <w:r>
            <w:fldChar w:fldCharType="begin"/>
          </w:r>
          <w:r>
            <w:instrText xml:space="preserve"> HYPERLINK \l _Toc10225 </w:instrText>
          </w:r>
          <w:r>
            <w:fldChar w:fldCharType="separate"/>
          </w:r>
          <w:r>
            <w:rPr>
              <w:rFonts w:hint="eastAsia" w:cs="宋体" w:asciiTheme="majorEastAsia" w:hAnsiTheme="majorEastAsia" w:eastAsiaTheme="majorEastAsia"/>
              <w:bCs/>
            </w:rPr>
            <w:t>第六章附则</w:t>
          </w:r>
          <w:r>
            <w:tab/>
          </w:r>
          <w:r>
            <w:fldChar w:fldCharType="begin"/>
          </w:r>
          <w:r>
            <w:instrText xml:space="preserve"> PAGEREF _Toc10225 \h </w:instrText>
          </w:r>
          <w:r>
            <w:fldChar w:fldCharType="separate"/>
          </w:r>
          <w:r>
            <w:t>181</w:t>
          </w:r>
          <w:r>
            <w:fldChar w:fldCharType="end"/>
          </w:r>
          <w:r>
            <w:fldChar w:fldCharType="end"/>
          </w:r>
        </w:p>
        <w:p>
          <w:pPr>
            <w:pStyle w:val="11"/>
            <w:tabs>
              <w:tab w:val="right" w:leader="dot" w:pos="8306"/>
            </w:tabs>
          </w:pPr>
          <w:r>
            <w:fldChar w:fldCharType="begin"/>
          </w:r>
          <w:r>
            <w:instrText xml:space="preserve"> HYPERLINK \l _Toc16542 </w:instrText>
          </w:r>
          <w:r>
            <w:fldChar w:fldCharType="separate"/>
          </w:r>
          <w:r>
            <w:rPr>
              <w:rFonts w:cs="宋体" w:asciiTheme="majorEastAsia" w:hAnsiTheme="majorEastAsia" w:eastAsiaTheme="majorEastAsia"/>
              <w:bCs/>
              <w:szCs w:val="24"/>
              <w:lang w:val="en-US" w:eastAsia="zh-CN" w:bidi="ar-SA"/>
            </w:rPr>
            <w:t>18.</w:t>
          </w:r>
          <w:r>
            <w:rPr>
              <w:rFonts w:hint="eastAsia"/>
            </w:rPr>
            <w:t>《商业银行保理业务管理暂行办法》</w:t>
          </w:r>
          <w:r>
            <w:tab/>
          </w:r>
          <w:r>
            <w:fldChar w:fldCharType="begin"/>
          </w:r>
          <w:r>
            <w:instrText xml:space="preserve"> PAGEREF _Toc16542 \h </w:instrText>
          </w:r>
          <w:r>
            <w:fldChar w:fldCharType="separate"/>
          </w:r>
          <w:r>
            <w:t>182</w:t>
          </w:r>
          <w:r>
            <w:fldChar w:fldCharType="end"/>
          </w:r>
          <w:r>
            <w:fldChar w:fldCharType="end"/>
          </w:r>
        </w:p>
        <w:p>
          <w:pPr>
            <w:pStyle w:val="11"/>
            <w:tabs>
              <w:tab w:val="right" w:leader="dot" w:pos="8306"/>
            </w:tabs>
          </w:pPr>
          <w:r>
            <w:fldChar w:fldCharType="begin"/>
          </w:r>
          <w:r>
            <w:instrText xml:space="preserve"> HYPERLINK \l _Toc10846 </w:instrText>
          </w:r>
          <w:r>
            <w:fldChar w:fldCharType="separate"/>
          </w:r>
          <w:r>
            <w:rPr>
              <w:rFonts w:hint="eastAsia" w:cs="宋体" w:asciiTheme="majorEastAsia" w:hAnsiTheme="majorEastAsia" w:eastAsiaTheme="majorEastAsia"/>
            </w:rPr>
            <w:t>发文机构：中国银行业监督管理委员会（已撤销）</w:t>
          </w:r>
          <w:r>
            <w:tab/>
          </w:r>
          <w:r>
            <w:fldChar w:fldCharType="begin"/>
          </w:r>
          <w:r>
            <w:instrText xml:space="preserve"> PAGEREF _Toc10846 \h </w:instrText>
          </w:r>
          <w:r>
            <w:fldChar w:fldCharType="separate"/>
          </w:r>
          <w:r>
            <w:t>182</w:t>
          </w:r>
          <w:r>
            <w:fldChar w:fldCharType="end"/>
          </w:r>
          <w:r>
            <w:fldChar w:fldCharType="end"/>
          </w:r>
        </w:p>
        <w:p>
          <w:pPr>
            <w:pStyle w:val="11"/>
            <w:tabs>
              <w:tab w:val="right" w:leader="dot" w:pos="8306"/>
            </w:tabs>
          </w:pPr>
          <w:r>
            <w:fldChar w:fldCharType="begin"/>
          </w:r>
          <w:r>
            <w:instrText xml:space="preserve"> HYPERLINK \l _Toc25083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_Toc25083 \h </w:instrText>
          </w:r>
          <w:r>
            <w:fldChar w:fldCharType="separate"/>
          </w:r>
          <w:r>
            <w:t>182</w:t>
          </w:r>
          <w:r>
            <w:fldChar w:fldCharType="end"/>
          </w:r>
          <w:r>
            <w:fldChar w:fldCharType="end"/>
          </w:r>
        </w:p>
        <w:p>
          <w:pPr>
            <w:pStyle w:val="11"/>
            <w:tabs>
              <w:tab w:val="right" w:leader="dot" w:pos="8306"/>
            </w:tabs>
          </w:pPr>
          <w:r>
            <w:fldChar w:fldCharType="begin"/>
          </w:r>
          <w:r>
            <w:instrText xml:space="preserve"> HYPERLINK \l _Toc27644 </w:instrText>
          </w:r>
          <w:r>
            <w:fldChar w:fldCharType="separate"/>
          </w:r>
          <w:r>
            <w:rPr>
              <w:rFonts w:hint="eastAsia" w:cs="宋体" w:asciiTheme="majorEastAsia" w:hAnsiTheme="majorEastAsia" w:eastAsiaTheme="majorEastAsia"/>
              <w:bCs/>
            </w:rPr>
            <w:t>第二章定义和分类</w:t>
          </w:r>
          <w:r>
            <w:tab/>
          </w:r>
          <w:r>
            <w:fldChar w:fldCharType="begin"/>
          </w:r>
          <w:r>
            <w:instrText xml:space="preserve"> PAGEREF _Toc27644 \h </w:instrText>
          </w:r>
          <w:r>
            <w:fldChar w:fldCharType="separate"/>
          </w:r>
          <w:r>
            <w:t>182</w:t>
          </w:r>
          <w:r>
            <w:fldChar w:fldCharType="end"/>
          </w:r>
          <w:r>
            <w:fldChar w:fldCharType="end"/>
          </w:r>
        </w:p>
        <w:p>
          <w:pPr>
            <w:pStyle w:val="11"/>
            <w:tabs>
              <w:tab w:val="right" w:leader="dot" w:pos="8306"/>
            </w:tabs>
          </w:pPr>
          <w:r>
            <w:fldChar w:fldCharType="begin"/>
          </w:r>
          <w:r>
            <w:instrText xml:space="preserve"> HYPERLINK \l _Toc19742 </w:instrText>
          </w:r>
          <w:r>
            <w:fldChar w:fldCharType="separate"/>
          </w:r>
          <w:r>
            <w:rPr>
              <w:rFonts w:hint="eastAsia" w:cs="宋体" w:asciiTheme="majorEastAsia" w:hAnsiTheme="majorEastAsia" w:eastAsiaTheme="majorEastAsia"/>
              <w:bCs/>
            </w:rPr>
            <w:t>第三章保理融资业务管理</w:t>
          </w:r>
          <w:r>
            <w:tab/>
          </w:r>
          <w:r>
            <w:fldChar w:fldCharType="begin"/>
          </w:r>
          <w:r>
            <w:instrText xml:space="preserve"> PAGEREF _Toc19742 \h </w:instrText>
          </w:r>
          <w:r>
            <w:fldChar w:fldCharType="separate"/>
          </w:r>
          <w:r>
            <w:t>184</w:t>
          </w:r>
          <w:r>
            <w:fldChar w:fldCharType="end"/>
          </w:r>
          <w:r>
            <w:fldChar w:fldCharType="end"/>
          </w:r>
        </w:p>
        <w:p>
          <w:pPr>
            <w:pStyle w:val="11"/>
            <w:tabs>
              <w:tab w:val="right" w:leader="dot" w:pos="8306"/>
            </w:tabs>
          </w:pPr>
          <w:r>
            <w:fldChar w:fldCharType="begin"/>
          </w:r>
          <w:r>
            <w:instrText xml:space="preserve"> HYPERLINK \l _Toc14133 </w:instrText>
          </w:r>
          <w:r>
            <w:fldChar w:fldCharType="separate"/>
          </w:r>
          <w:r>
            <w:rPr>
              <w:rFonts w:hint="eastAsia" w:cs="宋体" w:asciiTheme="majorEastAsia" w:hAnsiTheme="majorEastAsia" w:eastAsiaTheme="majorEastAsia"/>
              <w:bCs/>
            </w:rPr>
            <w:t>第四章保理业务风险管理</w:t>
          </w:r>
          <w:r>
            <w:tab/>
          </w:r>
          <w:r>
            <w:fldChar w:fldCharType="begin"/>
          </w:r>
          <w:r>
            <w:instrText xml:space="preserve"> PAGEREF _Toc14133 \h </w:instrText>
          </w:r>
          <w:r>
            <w:fldChar w:fldCharType="separate"/>
          </w:r>
          <w:r>
            <w:t>186</w:t>
          </w:r>
          <w:r>
            <w:fldChar w:fldCharType="end"/>
          </w:r>
          <w:r>
            <w:fldChar w:fldCharType="end"/>
          </w:r>
        </w:p>
        <w:p>
          <w:pPr>
            <w:pStyle w:val="11"/>
            <w:tabs>
              <w:tab w:val="right" w:leader="dot" w:pos="8306"/>
            </w:tabs>
          </w:pPr>
          <w:r>
            <w:fldChar w:fldCharType="begin"/>
          </w:r>
          <w:r>
            <w:instrText xml:space="preserve"> HYPERLINK \l _Toc28582 </w:instrText>
          </w:r>
          <w:r>
            <w:fldChar w:fldCharType="separate"/>
          </w:r>
          <w:r>
            <w:rPr>
              <w:rFonts w:hint="eastAsia" w:cs="宋体" w:asciiTheme="majorEastAsia" w:hAnsiTheme="majorEastAsia" w:eastAsiaTheme="majorEastAsia"/>
              <w:bCs/>
            </w:rPr>
            <w:t>第五章法律责任</w:t>
          </w:r>
          <w:r>
            <w:tab/>
          </w:r>
          <w:r>
            <w:fldChar w:fldCharType="begin"/>
          </w:r>
          <w:r>
            <w:instrText xml:space="preserve"> PAGEREF _Toc28582 \h </w:instrText>
          </w:r>
          <w:r>
            <w:fldChar w:fldCharType="separate"/>
          </w:r>
          <w:r>
            <w:t>187</w:t>
          </w:r>
          <w:r>
            <w:fldChar w:fldCharType="end"/>
          </w:r>
          <w:r>
            <w:fldChar w:fldCharType="end"/>
          </w:r>
        </w:p>
        <w:p>
          <w:pPr>
            <w:pStyle w:val="11"/>
            <w:tabs>
              <w:tab w:val="right" w:leader="dot" w:pos="8306"/>
            </w:tabs>
          </w:pPr>
          <w:r>
            <w:fldChar w:fldCharType="begin"/>
          </w:r>
          <w:r>
            <w:instrText xml:space="preserve"> HYPERLINK \l _Toc17571 </w:instrText>
          </w:r>
          <w:r>
            <w:fldChar w:fldCharType="separate"/>
          </w:r>
          <w:r>
            <w:rPr>
              <w:rFonts w:hint="eastAsia" w:cs="宋体" w:asciiTheme="majorEastAsia" w:hAnsiTheme="majorEastAsia" w:eastAsiaTheme="majorEastAsia"/>
              <w:bCs/>
            </w:rPr>
            <w:t>第六章附则</w:t>
          </w:r>
          <w:r>
            <w:tab/>
          </w:r>
          <w:r>
            <w:fldChar w:fldCharType="begin"/>
          </w:r>
          <w:r>
            <w:instrText xml:space="preserve"> PAGEREF _Toc17571 \h </w:instrText>
          </w:r>
          <w:r>
            <w:fldChar w:fldCharType="separate"/>
          </w:r>
          <w:r>
            <w:t>188</w:t>
          </w:r>
          <w:r>
            <w:fldChar w:fldCharType="end"/>
          </w:r>
          <w:r>
            <w:fldChar w:fldCharType="end"/>
          </w:r>
        </w:p>
        <w:p>
          <w:pPr>
            <w:pStyle w:val="11"/>
            <w:tabs>
              <w:tab w:val="right" w:leader="dot" w:pos="8306"/>
            </w:tabs>
          </w:pPr>
          <w:r>
            <w:fldChar w:fldCharType="begin"/>
          </w:r>
          <w:r>
            <w:instrText xml:space="preserve"> HYPERLINK \l _Toc25457 </w:instrText>
          </w:r>
          <w:r>
            <w:fldChar w:fldCharType="separate"/>
          </w:r>
          <w:r>
            <w:rPr>
              <w:rFonts w:cs="宋体" w:asciiTheme="majorEastAsia" w:hAnsiTheme="majorEastAsia" w:eastAsiaTheme="majorEastAsia"/>
              <w:bCs/>
              <w:szCs w:val="24"/>
              <w:lang w:val="en-US" w:eastAsia="zh-CN" w:bidi="ar-SA"/>
            </w:rPr>
            <w:t>19.</w:t>
          </w:r>
          <w:r>
            <w:rPr>
              <w:rFonts w:hint="eastAsia"/>
            </w:rPr>
            <w:t>《票据交易管理办法》</w:t>
          </w:r>
          <w:r>
            <w:tab/>
          </w:r>
          <w:r>
            <w:fldChar w:fldCharType="begin"/>
          </w:r>
          <w:r>
            <w:instrText xml:space="preserve"> PAGEREF _Toc25457 \h </w:instrText>
          </w:r>
          <w:r>
            <w:fldChar w:fldCharType="separate"/>
          </w:r>
          <w:r>
            <w:t>189</w:t>
          </w:r>
          <w:r>
            <w:fldChar w:fldCharType="end"/>
          </w:r>
          <w:r>
            <w:fldChar w:fldCharType="end"/>
          </w:r>
        </w:p>
        <w:p>
          <w:pPr>
            <w:pStyle w:val="11"/>
            <w:tabs>
              <w:tab w:val="right" w:leader="dot" w:pos="8306"/>
            </w:tabs>
          </w:pPr>
          <w:r>
            <w:fldChar w:fldCharType="begin"/>
          </w:r>
          <w:r>
            <w:instrText xml:space="preserve"> HYPERLINK \l _Toc9128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_Toc9128 \h </w:instrText>
          </w:r>
          <w:r>
            <w:fldChar w:fldCharType="separate"/>
          </w:r>
          <w:r>
            <w:t>189</w:t>
          </w:r>
          <w:r>
            <w:fldChar w:fldCharType="end"/>
          </w:r>
          <w:r>
            <w:fldChar w:fldCharType="end"/>
          </w:r>
        </w:p>
        <w:p>
          <w:pPr>
            <w:pStyle w:val="11"/>
            <w:tabs>
              <w:tab w:val="right" w:leader="dot" w:pos="8306"/>
            </w:tabs>
          </w:pPr>
          <w:r>
            <w:fldChar w:fldCharType="begin"/>
          </w:r>
          <w:r>
            <w:instrText xml:space="preserve"> HYPERLINK \l _Toc27470 </w:instrText>
          </w:r>
          <w:r>
            <w:fldChar w:fldCharType="separate"/>
          </w:r>
          <w:r>
            <w:rPr>
              <w:rFonts w:hint="eastAsia" w:cs="宋体" w:asciiTheme="majorEastAsia" w:hAnsiTheme="majorEastAsia" w:eastAsiaTheme="majorEastAsia"/>
              <w:bCs/>
            </w:rPr>
            <w:t>第二章票据市场参与者</w:t>
          </w:r>
          <w:r>
            <w:tab/>
          </w:r>
          <w:r>
            <w:fldChar w:fldCharType="begin"/>
          </w:r>
          <w:r>
            <w:instrText xml:space="preserve"> PAGEREF _Toc27470 \h </w:instrText>
          </w:r>
          <w:r>
            <w:fldChar w:fldCharType="separate"/>
          </w:r>
          <w:r>
            <w:t>189</w:t>
          </w:r>
          <w:r>
            <w:fldChar w:fldCharType="end"/>
          </w:r>
          <w:r>
            <w:fldChar w:fldCharType="end"/>
          </w:r>
        </w:p>
        <w:p>
          <w:pPr>
            <w:pStyle w:val="11"/>
            <w:tabs>
              <w:tab w:val="right" w:leader="dot" w:pos="8306"/>
            </w:tabs>
          </w:pPr>
          <w:r>
            <w:fldChar w:fldCharType="begin"/>
          </w:r>
          <w:r>
            <w:instrText xml:space="preserve"> HYPERLINK \l _Toc8429 </w:instrText>
          </w:r>
          <w:r>
            <w:fldChar w:fldCharType="separate"/>
          </w:r>
          <w:r>
            <w:rPr>
              <w:rFonts w:hint="eastAsia" w:cs="宋体" w:asciiTheme="majorEastAsia" w:hAnsiTheme="majorEastAsia" w:eastAsiaTheme="majorEastAsia"/>
              <w:bCs/>
            </w:rPr>
            <w:t>第三章票据市场基础设施</w:t>
          </w:r>
          <w:r>
            <w:tab/>
          </w:r>
          <w:r>
            <w:fldChar w:fldCharType="begin"/>
          </w:r>
          <w:r>
            <w:instrText xml:space="preserve"> PAGEREF _Toc8429 \h </w:instrText>
          </w:r>
          <w:r>
            <w:fldChar w:fldCharType="separate"/>
          </w:r>
          <w:r>
            <w:t>190</w:t>
          </w:r>
          <w:r>
            <w:fldChar w:fldCharType="end"/>
          </w:r>
          <w:r>
            <w:fldChar w:fldCharType="end"/>
          </w:r>
        </w:p>
        <w:p>
          <w:pPr>
            <w:pStyle w:val="11"/>
            <w:tabs>
              <w:tab w:val="right" w:leader="dot" w:pos="8306"/>
            </w:tabs>
          </w:pPr>
          <w:r>
            <w:fldChar w:fldCharType="begin"/>
          </w:r>
          <w:r>
            <w:instrText xml:space="preserve"> HYPERLINK \l _Toc10767 </w:instrText>
          </w:r>
          <w:r>
            <w:fldChar w:fldCharType="separate"/>
          </w:r>
          <w:r>
            <w:rPr>
              <w:rFonts w:hint="eastAsia" w:cs="宋体" w:asciiTheme="majorEastAsia" w:hAnsiTheme="majorEastAsia" w:eastAsiaTheme="majorEastAsia"/>
              <w:bCs/>
            </w:rPr>
            <w:t>第四章票据信息登记与电子化</w:t>
          </w:r>
          <w:r>
            <w:tab/>
          </w:r>
          <w:r>
            <w:fldChar w:fldCharType="begin"/>
          </w:r>
          <w:r>
            <w:instrText xml:space="preserve"> PAGEREF _Toc10767 \h </w:instrText>
          </w:r>
          <w:r>
            <w:fldChar w:fldCharType="separate"/>
          </w:r>
          <w:r>
            <w:t>191</w:t>
          </w:r>
          <w:r>
            <w:fldChar w:fldCharType="end"/>
          </w:r>
          <w:r>
            <w:fldChar w:fldCharType="end"/>
          </w:r>
        </w:p>
        <w:p>
          <w:pPr>
            <w:pStyle w:val="11"/>
            <w:tabs>
              <w:tab w:val="right" w:leader="dot" w:pos="8306"/>
            </w:tabs>
          </w:pPr>
          <w:r>
            <w:fldChar w:fldCharType="begin"/>
          </w:r>
          <w:r>
            <w:instrText xml:space="preserve"> HYPERLINK \l _Toc24986 </w:instrText>
          </w:r>
          <w:r>
            <w:fldChar w:fldCharType="separate"/>
          </w:r>
          <w:r>
            <w:rPr>
              <w:rFonts w:hint="eastAsia" w:cs="宋体" w:asciiTheme="majorEastAsia" w:hAnsiTheme="majorEastAsia" w:eastAsiaTheme="majorEastAsia"/>
              <w:bCs/>
            </w:rPr>
            <w:t>第五章票据登记与托管</w:t>
          </w:r>
          <w:r>
            <w:tab/>
          </w:r>
          <w:r>
            <w:fldChar w:fldCharType="begin"/>
          </w:r>
          <w:r>
            <w:instrText xml:space="preserve"> PAGEREF _Toc24986 \h </w:instrText>
          </w:r>
          <w:r>
            <w:fldChar w:fldCharType="separate"/>
          </w:r>
          <w:r>
            <w:t>193</w:t>
          </w:r>
          <w:r>
            <w:fldChar w:fldCharType="end"/>
          </w:r>
          <w:r>
            <w:fldChar w:fldCharType="end"/>
          </w:r>
        </w:p>
        <w:p>
          <w:pPr>
            <w:pStyle w:val="11"/>
            <w:tabs>
              <w:tab w:val="right" w:leader="dot" w:pos="8306"/>
            </w:tabs>
          </w:pPr>
          <w:r>
            <w:fldChar w:fldCharType="begin"/>
          </w:r>
          <w:r>
            <w:instrText xml:space="preserve"> HYPERLINK \l _Toc3924 </w:instrText>
          </w:r>
          <w:r>
            <w:fldChar w:fldCharType="separate"/>
          </w:r>
          <w:r>
            <w:rPr>
              <w:rFonts w:hint="eastAsia" w:cs="宋体" w:asciiTheme="majorEastAsia" w:hAnsiTheme="majorEastAsia" w:eastAsiaTheme="majorEastAsia"/>
              <w:bCs/>
            </w:rPr>
            <w:t>第六章票据交易</w:t>
          </w:r>
          <w:r>
            <w:tab/>
          </w:r>
          <w:r>
            <w:fldChar w:fldCharType="begin"/>
          </w:r>
          <w:r>
            <w:instrText xml:space="preserve"> PAGEREF _Toc3924 \h </w:instrText>
          </w:r>
          <w:r>
            <w:fldChar w:fldCharType="separate"/>
          </w:r>
          <w:r>
            <w:t>194</w:t>
          </w:r>
          <w:r>
            <w:fldChar w:fldCharType="end"/>
          </w:r>
          <w:r>
            <w:fldChar w:fldCharType="end"/>
          </w:r>
        </w:p>
        <w:p>
          <w:pPr>
            <w:pStyle w:val="11"/>
            <w:tabs>
              <w:tab w:val="right" w:leader="dot" w:pos="8306"/>
            </w:tabs>
          </w:pPr>
          <w:r>
            <w:fldChar w:fldCharType="begin"/>
          </w:r>
          <w:r>
            <w:instrText xml:space="preserve"> HYPERLINK \l _Toc24965 </w:instrText>
          </w:r>
          <w:r>
            <w:fldChar w:fldCharType="separate"/>
          </w:r>
          <w:r>
            <w:rPr>
              <w:rFonts w:hint="eastAsia" w:cs="宋体" w:asciiTheme="majorEastAsia" w:hAnsiTheme="majorEastAsia" w:eastAsiaTheme="majorEastAsia"/>
              <w:bCs/>
            </w:rPr>
            <w:t>第七章票据交易结算与到期处理</w:t>
          </w:r>
          <w:r>
            <w:tab/>
          </w:r>
          <w:r>
            <w:fldChar w:fldCharType="begin"/>
          </w:r>
          <w:r>
            <w:instrText xml:space="preserve"> PAGEREF _Toc24965 \h </w:instrText>
          </w:r>
          <w:r>
            <w:fldChar w:fldCharType="separate"/>
          </w:r>
          <w:r>
            <w:t>195</w:t>
          </w:r>
          <w:r>
            <w:fldChar w:fldCharType="end"/>
          </w:r>
          <w:r>
            <w:fldChar w:fldCharType="end"/>
          </w:r>
        </w:p>
        <w:p>
          <w:pPr>
            <w:pStyle w:val="11"/>
            <w:tabs>
              <w:tab w:val="right" w:leader="dot" w:pos="8306"/>
            </w:tabs>
          </w:pPr>
          <w:r>
            <w:fldChar w:fldCharType="begin"/>
          </w:r>
          <w:r>
            <w:instrText xml:space="preserve"> HYPERLINK \l _Toc3975 </w:instrText>
          </w:r>
          <w:r>
            <w:fldChar w:fldCharType="separate"/>
          </w:r>
          <w:r>
            <w:rPr>
              <w:rFonts w:hint="eastAsia" w:cs="宋体" w:asciiTheme="majorEastAsia" w:hAnsiTheme="majorEastAsia" w:eastAsiaTheme="majorEastAsia"/>
              <w:bCs/>
            </w:rPr>
            <w:t>第八章附则</w:t>
          </w:r>
          <w:r>
            <w:tab/>
          </w:r>
          <w:r>
            <w:fldChar w:fldCharType="begin"/>
          </w:r>
          <w:r>
            <w:instrText xml:space="preserve"> PAGEREF _Toc3975 \h </w:instrText>
          </w:r>
          <w:r>
            <w:fldChar w:fldCharType="separate"/>
          </w:r>
          <w:r>
            <w:t>197</w:t>
          </w:r>
          <w:r>
            <w:fldChar w:fldCharType="end"/>
          </w:r>
          <w:r>
            <w:fldChar w:fldCharType="end"/>
          </w:r>
        </w:p>
        <w:p>
          <w:pPr>
            <w:pStyle w:val="11"/>
            <w:tabs>
              <w:tab w:val="right" w:leader="dot" w:pos="8306"/>
            </w:tabs>
          </w:pPr>
          <w:r>
            <w:fldChar w:fldCharType="begin"/>
          </w:r>
          <w:r>
            <w:instrText xml:space="preserve"> HYPERLINK \l _Toc13230 </w:instrText>
          </w:r>
          <w:r>
            <w:fldChar w:fldCharType="separate"/>
          </w:r>
          <w:r>
            <w:rPr>
              <w:rFonts w:cs="宋体" w:asciiTheme="majorEastAsia" w:hAnsiTheme="majorEastAsia" w:eastAsiaTheme="majorEastAsia"/>
              <w:bCs/>
              <w:szCs w:val="24"/>
              <w:lang w:val="en-US" w:eastAsia="zh-CN" w:bidi="ar-SA"/>
            </w:rPr>
            <w:t>20.</w:t>
          </w:r>
          <w:r>
            <w:rPr>
              <w:rFonts w:hint="eastAsia"/>
            </w:rPr>
            <w:t>《标准化票据管理办法》</w:t>
          </w:r>
          <w:r>
            <w:tab/>
          </w:r>
          <w:r>
            <w:fldChar w:fldCharType="begin"/>
          </w:r>
          <w:r>
            <w:instrText xml:space="preserve"> PAGEREF _Toc13230 \h </w:instrText>
          </w:r>
          <w:r>
            <w:fldChar w:fldCharType="separate"/>
          </w:r>
          <w:r>
            <w:t>198</w:t>
          </w:r>
          <w:r>
            <w:fldChar w:fldCharType="end"/>
          </w:r>
          <w:r>
            <w:fldChar w:fldCharType="end"/>
          </w:r>
        </w:p>
        <w:p>
          <w:pPr>
            <w:pStyle w:val="11"/>
            <w:tabs>
              <w:tab w:val="right" w:pos="5200"/>
              <w:tab w:val="right" w:leader="dot" w:pos="8306"/>
            </w:tabs>
          </w:pPr>
          <w:r>
            <w:fldChar w:fldCharType="begin"/>
          </w:r>
          <w:r>
            <w:instrText xml:space="preserve"> HYPERLINK \l _Toc10466 </w:instrText>
          </w:r>
          <w:r>
            <w:fldChar w:fldCharType="separate"/>
          </w:r>
          <w:r>
            <w:rPr>
              <w:rFonts w:hint="eastAsia" w:cs="宋体" w:asciiTheme="majorEastAsia" w:hAnsiTheme="majorEastAsia" w:eastAsiaTheme="majorEastAsia"/>
            </w:rPr>
            <w:t>发文机构：中国人民银行</w:t>
          </w:r>
          <w:r>
            <w:rPr>
              <w:rFonts w:hint="eastAsia" w:cs="宋体" w:asciiTheme="majorEastAsia" w:hAnsiTheme="majorEastAsia" w:eastAsiaTheme="majorEastAsia"/>
            </w:rPr>
            <w:tab/>
          </w:r>
          <w:r>
            <w:rPr>
              <w:rFonts w:hint="eastAsia" w:cs="宋体" w:asciiTheme="majorEastAsia" w:hAnsiTheme="majorEastAsia" w:eastAsiaTheme="majorEastAsia"/>
            </w:rPr>
            <w:t>文号：中国人民银行公告〔2020〕第6号</w:t>
          </w:r>
          <w:r>
            <w:tab/>
          </w:r>
          <w:r>
            <w:fldChar w:fldCharType="begin"/>
          </w:r>
          <w:r>
            <w:instrText xml:space="preserve"> PAGEREF _Toc10466 \h </w:instrText>
          </w:r>
          <w:r>
            <w:fldChar w:fldCharType="separate"/>
          </w:r>
          <w:r>
            <w:t>198</w:t>
          </w:r>
          <w:r>
            <w:fldChar w:fldCharType="end"/>
          </w:r>
          <w:r>
            <w:fldChar w:fldCharType="end"/>
          </w:r>
        </w:p>
        <w:p>
          <w:pPr>
            <w:pStyle w:val="11"/>
            <w:tabs>
              <w:tab w:val="right" w:leader="dot" w:pos="8306"/>
            </w:tabs>
          </w:pPr>
          <w:r>
            <w:fldChar w:fldCharType="begin"/>
          </w:r>
          <w:r>
            <w:instrText xml:space="preserve"> HYPERLINK \l _Toc8126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_Toc8126 \h </w:instrText>
          </w:r>
          <w:r>
            <w:fldChar w:fldCharType="separate"/>
          </w:r>
          <w:r>
            <w:t>198</w:t>
          </w:r>
          <w:r>
            <w:fldChar w:fldCharType="end"/>
          </w:r>
          <w:r>
            <w:fldChar w:fldCharType="end"/>
          </w:r>
        </w:p>
        <w:p>
          <w:pPr>
            <w:pStyle w:val="11"/>
            <w:tabs>
              <w:tab w:val="right" w:leader="dot" w:pos="8306"/>
            </w:tabs>
          </w:pPr>
          <w:r>
            <w:fldChar w:fldCharType="begin"/>
          </w:r>
          <w:r>
            <w:instrText xml:space="preserve"> HYPERLINK \l _Toc1396 </w:instrText>
          </w:r>
          <w:r>
            <w:fldChar w:fldCharType="separate"/>
          </w:r>
          <w:r>
            <w:rPr>
              <w:rFonts w:hint="eastAsia" w:cs="宋体" w:asciiTheme="majorEastAsia" w:hAnsiTheme="majorEastAsia" w:eastAsiaTheme="majorEastAsia"/>
              <w:bCs/>
            </w:rPr>
            <w:t>第二章主要参与机构</w:t>
          </w:r>
          <w:r>
            <w:tab/>
          </w:r>
          <w:r>
            <w:fldChar w:fldCharType="begin"/>
          </w:r>
          <w:r>
            <w:instrText xml:space="preserve"> PAGEREF _Toc1396 \h </w:instrText>
          </w:r>
          <w:r>
            <w:fldChar w:fldCharType="separate"/>
          </w:r>
          <w:r>
            <w:t>198</w:t>
          </w:r>
          <w:r>
            <w:fldChar w:fldCharType="end"/>
          </w:r>
          <w:r>
            <w:fldChar w:fldCharType="end"/>
          </w:r>
        </w:p>
        <w:p>
          <w:pPr>
            <w:pStyle w:val="11"/>
            <w:tabs>
              <w:tab w:val="right" w:leader="dot" w:pos="8306"/>
            </w:tabs>
          </w:pPr>
          <w:r>
            <w:fldChar w:fldCharType="begin"/>
          </w:r>
          <w:r>
            <w:instrText xml:space="preserve"> HYPERLINK \l _Toc19559 </w:instrText>
          </w:r>
          <w:r>
            <w:fldChar w:fldCharType="separate"/>
          </w:r>
          <w:r>
            <w:rPr>
              <w:rFonts w:hint="eastAsia" w:cs="宋体" w:asciiTheme="majorEastAsia" w:hAnsiTheme="majorEastAsia" w:eastAsiaTheme="majorEastAsia"/>
              <w:bCs/>
            </w:rPr>
            <w:t>第三章基础资产</w:t>
          </w:r>
          <w:r>
            <w:tab/>
          </w:r>
          <w:r>
            <w:fldChar w:fldCharType="begin"/>
          </w:r>
          <w:r>
            <w:instrText xml:space="preserve"> PAGEREF _Toc19559 \h </w:instrText>
          </w:r>
          <w:r>
            <w:fldChar w:fldCharType="separate"/>
          </w:r>
          <w:r>
            <w:t>199</w:t>
          </w:r>
          <w:r>
            <w:fldChar w:fldCharType="end"/>
          </w:r>
          <w:r>
            <w:fldChar w:fldCharType="end"/>
          </w:r>
        </w:p>
        <w:p>
          <w:pPr>
            <w:pStyle w:val="11"/>
            <w:tabs>
              <w:tab w:val="right" w:leader="dot" w:pos="8306"/>
            </w:tabs>
          </w:pPr>
          <w:r>
            <w:fldChar w:fldCharType="begin"/>
          </w:r>
          <w:r>
            <w:instrText xml:space="preserve"> HYPERLINK \l _Toc19071 </w:instrText>
          </w:r>
          <w:r>
            <w:fldChar w:fldCharType="separate"/>
          </w:r>
          <w:r>
            <w:rPr>
              <w:rFonts w:hint="eastAsia" w:cs="宋体" w:asciiTheme="majorEastAsia" w:hAnsiTheme="majorEastAsia" w:eastAsiaTheme="majorEastAsia"/>
              <w:bCs/>
            </w:rPr>
            <w:t>第四章标准化票据创设</w:t>
          </w:r>
          <w:r>
            <w:tab/>
          </w:r>
          <w:r>
            <w:fldChar w:fldCharType="begin"/>
          </w:r>
          <w:r>
            <w:instrText xml:space="preserve"> PAGEREF _Toc19071 \h </w:instrText>
          </w:r>
          <w:r>
            <w:fldChar w:fldCharType="separate"/>
          </w:r>
          <w:r>
            <w:t>200</w:t>
          </w:r>
          <w:r>
            <w:fldChar w:fldCharType="end"/>
          </w:r>
          <w:r>
            <w:fldChar w:fldCharType="end"/>
          </w:r>
        </w:p>
        <w:p>
          <w:pPr>
            <w:pStyle w:val="11"/>
            <w:tabs>
              <w:tab w:val="right" w:leader="dot" w:pos="8306"/>
            </w:tabs>
          </w:pPr>
          <w:r>
            <w:fldChar w:fldCharType="begin"/>
          </w:r>
          <w:r>
            <w:instrText xml:space="preserve"> HYPERLINK \l _Toc26068 </w:instrText>
          </w:r>
          <w:r>
            <w:fldChar w:fldCharType="separate"/>
          </w:r>
          <w:r>
            <w:rPr>
              <w:rFonts w:hint="eastAsia" w:cs="宋体" w:asciiTheme="majorEastAsia" w:hAnsiTheme="majorEastAsia" w:eastAsiaTheme="majorEastAsia"/>
              <w:bCs/>
            </w:rPr>
            <w:t>第五章信息披露</w:t>
          </w:r>
          <w:r>
            <w:tab/>
          </w:r>
          <w:r>
            <w:fldChar w:fldCharType="begin"/>
          </w:r>
          <w:r>
            <w:instrText xml:space="preserve"> PAGEREF _Toc26068 \h </w:instrText>
          </w:r>
          <w:r>
            <w:fldChar w:fldCharType="separate"/>
          </w:r>
          <w:r>
            <w:t>201</w:t>
          </w:r>
          <w:r>
            <w:fldChar w:fldCharType="end"/>
          </w:r>
          <w:r>
            <w:fldChar w:fldCharType="end"/>
          </w:r>
        </w:p>
        <w:p>
          <w:pPr>
            <w:pStyle w:val="11"/>
            <w:tabs>
              <w:tab w:val="right" w:leader="dot" w:pos="8306"/>
            </w:tabs>
          </w:pPr>
          <w:r>
            <w:fldChar w:fldCharType="begin"/>
          </w:r>
          <w:r>
            <w:instrText xml:space="preserve"> HYPERLINK \l _Toc26540 </w:instrText>
          </w:r>
          <w:r>
            <w:fldChar w:fldCharType="separate"/>
          </w:r>
          <w:r>
            <w:rPr>
              <w:rFonts w:hint="eastAsia" w:cs="宋体" w:asciiTheme="majorEastAsia" w:hAnsiTheme="majorEastAsia" w:eastAsiaTheme="majorEastAsia"/>
              <w:bCs/>
            </w:rPr>
            <w:t>第六章投资者保护</w:t>
          </w:r>
          <w:r>
            <w:tab/>
          </w:r>
          <w:r>
            <w:fldChar w:fldCharType="begin"/>
          </w:r>
          <w:r>
            <w:instrText xml:space="preserve"> PAGEREF _Toc26540 \h </w:instrText>
          </w:r>
          <w:r>
            <w:fldChar w:fldCharType="separate"/>
          </w:r>
          <w:r>
            <w:t>202</w:t>
          </w:r>
          <w:r>
            <w:fldChar w:fldCharType="end"/>
          </w:r>
          <w:r>
            <w:fldChar w:fldCharType="end"/>
          </w:r>
        </w:p>
        <w:p>
          <w:pPr>
            <w:pStyle w:val="11"/>
            <w:tabs>
              <w:tab w:val="right" w:leader="dot" w:pos="8306"/>
            </w:tabs>
          </w:pPr>
          <w:r>
            <w:fldChar w:fldCharType="begin"/>
          </w:r>
          <w:r>
            <w:instrText xml:space="preserve"> HYPERLINK \l _Toc26765 </w:instrText>
          </w:r>
          <w:r>
            <w:fldChar w:fldCharType="separate"/>
          </w:r>
          <w:r>
            <w:rPr>
              <w:rFonts w:hint="eastAsia" w:cs="宋体" w:asciiTheme="majorEastAsia" w:hAnsiTheme="majorEastAsia" w:eastAsiaTheme="majorEastAsia"/>
              <w:bCs/>
            </w:rPr>
            <w:t>第七章监督管理</w:t>
          </w:r>
          <w:r>
            <w:tab/>
          </w:r>
          <w:r>
            <w:fldChar w:fldCharType="begin"/>
          </w:r>
          <w:r>
            <w:instrText xml:space="preserve"> PAGEREF _Toc26765 \h </w:instrText>
          </w:r>
          <w:r>
            <w:fldChar w:fldCharType="separate"/>
          </w:r>
          <w:r>
            <w:t>202</w:t>
          </w:r>
          <w:r>
            <w:fldChar w:fldCharType="end"/>
          </w:r>
          <w:r>
            <w:fldChar w:fldCharType="end"/>
          </w:r>
        </w:p>
        <w:p>
          <w:pPr>
            <w:pStyle w:val="11"/>
            <w:tabs>
              <w:tab w:val="right" w:leader="dot" w:pos="8306"/>
            </w:tabs>
          </w:pPr>
          <w:r>
            <w:fldChar w:fldCharType="begin"/>
          </w:r>
          <w:r>
            <w:instrText xml:space="preserve"> HYPERLINK \l _Toc3296 </w:instrText>
          </w:r>
          <w:r>
            <w:fldChar w:fldCharType="separate"/>
          </w:r>
          <w:r>
            <w:rPr>
              <w:rFonts w:hint="eastAsia" w:cs="宋体" w:asciiTheme="majorEastAsia" w:hAnsiTheme="majorEastAsia" w:eastAsiaTheme="majorEastAsia"/>
              <w:bCs/>
            </w:rPr>
            <w:t>第八章附则</w:t>
          </w:r>
          <w:r>
            <w:tab/>
          </w:r>
          <w:r>
            <w:fldChar w:fldCharType="begin"/>
          </w:r>
          <w:r>
            <w:instrText xml:space="preserve"> PAGEREF _Toc3296 \h </w:instrText>
          </w:r>
          <w:r>
            <w:fldChar w:fldCharType="separate"/>
          </w:r>
          <w:r>
            <w:t>203</w:t>
          </w:r>
          <w:r>
            <w:fldChar w:fldCharType="end"/>
          </w:r>
          <w:r>
            <w:fldChar w:fldCharType="end"/>
          </w:r>
        </w:p>
        <w:p>
          <w:pPr>
            <w:pStyle w:val="11"/>
            <w:tabs>
              <w:tab w:val="right" w:leader="dot" w:pos="8306"/>
            </w:tabs>
          </w:pPr>
          <w:r>
            <w:fldChar w:fldCharType="begin"/>
          </w:r>
          <w:r>
            <w:instrText xml:space="preserve"> HYPERLINK \l _Toc15477 </w:instrText>
          </w:r>
          <w:r>
            <w:fldChar w:fldCharType="separate"/>
          </w:r>
          <w:r>
            <w:rPr>
              <w:rFonts w:cs="宋体" w:asciiTheme="majorEastAsia" w:hAnsiTheme="majorEastAsia" w:eastAsiaTheme="majorEastAsia"/>
              <w:bCs/>
              <w:szCs w:val="24"/>
              <w:lang w:val="en-US" w:eastAsia="zh-CN" w:bidi="ar-SA"/>
            </w:rPr>
            <w:t>21.</w:t>
          </w:r>
          <w:r>
            <w:rPr>
              <w:rFonts w:hint="eastAsia"/>
            </w:rPr>
            <w:t>《动产和权利担保统一登记办法》</w:t>
          </w:r>
          <w:r>
            <w:tab/>
          </w:r>
          <w:r>
            <w:fldChar w:fldCharType="begin"/>
          </w:r>
          <w:r>
            <w:instrText xml:space="preserve"> PAGEREF _Toc15477 \h </w:instrText>
          </w:r>
          <w:r>
            <w:fldChar w:fldCharType="separate"/>
          </w:r>
          <w:r>
            <w:t>204</w:t>
          </w:r>
          <w:r>
            <w:fldChar w:fldCharType="end"/>
          </w:r>
          <w:r>
            <w:fldChar w:fldCharType="end"/>
          </w:r>
        </w:p>
        <w:p>
          <w:pPr>
            <w:pStyle w:val="11"/>
            <w:tabs>
              <w:tab w:val="right" w:pos="5200"/>
              <w:tab w:val="right" w:leader="dot" w:pos="8306"/>
            </w:tabs>
          </w:pPr>
          <w:r>
            <w:fldChar w:fldCharType="begin"/>
          </w:r>
          <w:r>
            <w:instrText xml:space="preserve"> HYPERLINK \l _Toc25530 </w:instrText>
          </w:r>
          <w:r>
            <w:fldChar w:fldCharType="separate"/>
          </w:r>
          <w:r>
            <w:rPr>
              <w:rFonts w:hint="eastAsia" w:cs="宋体" w:asciiTheme="majorEastAsia" w:hAnsiTheme="majorEastAsia" w:eastAsiaTheme="majorEastAsia"/>
            </w:rPr>
            <w:t>发文机构：中国人民银行</w:t>
          </w:r>
          <w:r>
            <w:rPr>
              <w:rFonts w:hint="eastAsia" w:cs="宋体" w:asciiTheme="majorEastAsia" w:hAnsiTheme="majorEastAsia" w:eastAsiaTheme="majorEastAsia"/>
            </w:rPr>
            <w:tab/>
          </w:r>
          <w:r>
            <w:rPr>
              <w:rFonts w:hint="eastAsia" w:cs="宋体" w:asciiTheme="majorEastAsia" w:hAnsiTheme="majorEastAsia" w:eastAsiaTheme="majorEastAsia"/>
            </w:rPr>
            <w:t>文号：中国人民银行令[2021]第7号</w:t>
          </w:r>
          <w:r>
            <w:tab/>
          </w:r>
          <w:r>
            <w:fldChar w:fldCharType="begin"/>
          </w:r>
          <w:r>
            <w:instrText xml:space="preserve"> PAGEREF _Toc25530 \h </w:instrText>
          </w:r>
          <w:r>
            <w:fldChar w:fldCharType="separate"/>
          </w:r>
          <w:r>
            <w:t>204</w:t>
          </w:r>
          <w:r>
            <w:fldChar w:fldCharType="end"/>
          </w:r>
          <w:r>
            <w:fldChar w:fldCharType="end"/>
          </w:r>
        </w:p>
        <w:p>
          <w:pPr>
            <w:pStyle w:val="11"/>
            <w:tabs>
              <w:tab w:val="right" w:leader="dot" w:pos="8306"/>
            </w:tabs>
          </w:pPr>
          <w:r>
            <w:fldChar w:fldCharType="begin"/>
          </w:r>
          <w:r>
            <w:instrText xml:space="preserve"> HYPERLINK \l _Toc26834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_Toc26834 \h </w:instrText>
          </w:r>
          <w:r>
            <w:fldChar w:fldCharType="separate"/>
          </w:r>
          <w:r>
            <w:t>204</w:t>
          </w:r>
          <w:r>
            <w:fldChar w:fldCharType="end"/>
          </w:r>
          <w:r>
            <w:fldChar w:fldCharType="end"/>
          </w:r>
        </w:p>
        <w:p>
          <w:pPr>
            <w:pStyle w:val="11"/>
            <w:tabs>
              <w:tab w:val="right" w:leader="dot" w:pos="8306"/>
            </w:tabs>
          </w:pPr>
          <w:r>
            <w:fldChar w:fldCharType="begin"/>
          </w:r>
          <w:r>
            <w:instrText xml:space="preserve"> HYPERLINK \l _Toc20993 </w:instrText>
          </w:r>
          <w:r>
            <w:fldChar w:fldCharType="separate"/>
          </w:r>
          <w:r>
            <w:rPr>
              <w:rFonts w:hint="eastAsia" w:cs="宋体" w:asciiTheme="majorEastAsia" w:hAnsiTheme="majorEastAsia" w:eastAsiaTheme="majorEastAsia"/>
              <w:bCs/>
            </w:rPr>
            <w:t>第二章登记与查询</w:t>
          </w:r>
          <w:r>
            <w:tab/>
          </w:r>
          <w:r>
            <w:fldChar w:fldCharType="begin"/>
          </w:r>
          <w:r>
            <w:instrText xml:space="preserve"> PAGEREF _Toc20993 \h </w:instrText>
          </w:r>
          <w:r>
            <w:fldChar w:fldCharType="separate"/>
          </w:r>
          <w:r>
            <w:t>205</w:t>
          </w:r>
          <w:r>
            <w:fldChar w:fldCharType="end"/>
          </w:r>
          <w:r>
            <w:fldChar w:fldCharType="end"/>
          </w:r>
        </w:p>
        <w:p>
          <w:pPr>
            <w:pStyle w:val="11"/>
            <w:tabs>
              <w:tab w:val="right" w:leader="dot" w:pos="8306"/>
            </w:tabs>
          </w:pPr>
          <w:r>
            <w:fldChar w:fldCharType="begin"/>
          </w:r>
          <w:r>
            <w:instrText xml:space="preserve"> HYPERLINK \l _Toc12671 </w:instrText>
          </w:r>
          <w:r>
            <w:fldChar w:fldCharType="separate"/>
          </w:r>
          <w:r>
            <w:rPr>
              <w:rFonts w:hint="eastAsia" w:cs="宋体" w:asciiTheme="majorEastAsia" w:hAnsiTheme="majorEastAsia" w:eastAsiaTheme="majorEastAsia"/>
              <w:bCs/>
            </w:rPr>
            <w:t>第三章征信中心的职责</w:t>
          </w:r>
          <w:r>
            <w:tab/>
          </w:r>
          <w:r>
            <w:fldChar w:fldCharType="begin"/>
          </w:r>
          <w:r>
            <w:instrText xml:space="preserve"> PAGEREF _Toc12671 \h </w:instrText>
          </w:r>
          <w:r>
            <w:fldChar w:fldCharType="separate"/>
          </w:r>
          <w:r>
            <w:t>208</w:t>
          </w:r>
          <w:r>
            <w:fldChar w:fldCharType="end"/>
          </w:r>
          <w:r>
            <w:fldChar w:fldCharType="end"/>
          </w:r>
        </w:p>
        <w:p>
          <w:pPr>
            <w:pStyle w:val="11"/>
            <w:tabs>
              <w:tab w:val="right" w:leader="dot" w:pos="8306"/>
            </w:tabs>
          </w:pPr>
          <w:r>
            <w:fldChar w:fldCharType="begin"/>
          </w:r>
          <w:r>
            <w:instrText xml:space="preserve"> HYPERLINK \l _Toc29839 </w:instrText>
          </w:r>
          <w:r>
            <w:fldChar w:fldCharType="separate"/>
          </w:r>
          <w:r>
            <w:rPr>
              <w:rFonts w:hint="eastAsia" w:cs="宋体" w:asciiTheme="majorEastAsia" w:hAnsiTheme="majorEastAsia" w:eastAsiaTheme="majorEastAsia"/>
              <w:bCs/>
            </w:rPr>
            <w:t>第四章附则</w:t>
          </w:r>
          <w:r>
            <w:tab/>
          </w:r>
          <w:r>
            <w:fldChar w:fldCharType="begin"/>
          </w:r>
          <w:r>
            <w:instrText xml:space="preserve"> PAGEREF _Toc29839 \h </w:instrText>
          </w:r>
          <w:r>
            <w:fldChar w:fldCharType="separate"/>
          </w:r>
          <w:r>
            <w:t>208</w:t>
          </w:r>
          <w:r>
            <w:fldChar w:fldCharType="end"/>
          </w:r>
          <w:r>
            <w:fldChar w:fldCharType="end"/>
          </w:r>
        </w:p>
        <w:p>
          <w:pPr>
            <w:pStyle w:val="11"/>
            <w:tabs>
              <w:tab w:val="right" w:leader="dot" w:pos="8306"/>
            </w:tabs>
          </w:pPr>
          <w:r>
            <w:fldChar w:fldCharType="begin"/>
          </w:r>
          <w:r>
            <w:instrText xml:space="preserve"> HYPERLINK \l _Toc11957 </w:instrText>
          </w:r>
          <w:r>
            <w:fldChar w:fldCharType="separate"/>
          </w:r>
          <w:r>
            <w:rPr>
              <w:rFonts w:cs="宋体" w:asciiTheme="majorEastAsia" w:hAnsiTheme="majorEastAsia" w:eastAsiaTheme="majorEastAsia"/>
              <w:bCs/>
              <w:szCs w:val="24"/>
              <w:lang w:val="en-US" w:eastAsia="zh-CN" w:bidi="ar-SA"/>
            </w:rPr>
            <w:t>22.</w:t>
          </w:r>
          <w:r>
            <w:rPr>
              <w:rFonts w:hint="eastAsia"/>
            </w:rPr>
            <w:t>《商业汇票承兑、贴现与再贴现管理办法》</w:t>
          </w:r>
          <w:r>
            <w:tab/>
          </w:r>
          <w:r>
            <w:fldChar w:fldCharType="begin"/>
          </w:r>
          <w:r>
            <w:instrText xml:space="preserve"> PAGEREF _Toc11957 \h </w:instrText>
          </w:r>
          <w:r>
            <w:fldChar w:fldCharType="separate"/>
          </w:r>
          <w:r>
            <w:t>209</w:t>
          </w:r>
          <w:r>
            <w:fldChar w:fldCharType="end"/>
          </w:r>
          <w:r>
            <w:fldChar w:fldCharType="end"/>
          </w:r>
        </w:p>
        <w:p>
          <w:pPr>
            <w:pStyle w:val="11"/>
            <w:tabs>
              <w:tab w:val="right" w:leader="dot" w:pos="8306"/>
            </w:tabs>
          </w:pPr>
          <w:r>
            <w:fldChar w:fldCharType="begin"/>
          </w:r>
          <w:r>
            <w:instrText xml:space="preserve"> HYPERLINK \l _Toc15989 </w:instrText>
          </w:r>
          <w:r>
            <w:fldChar w:fldCharType="separate"/>
          </w:r>
          <w:r>
            <w:rPr>
              <w:rFonts w:hint="eastAsia" w:cs="宋体" w:asciiTheme="majorEastAsia" w:hAnsiTheme="majorEastAsia" w:eastAsiaTheme="majorEastAsia"/>
            </w:rPr>
            <w:t>文号：中国人民银行、中国银行保险监督管理委员会令〔2022〕第4号</w:t>
          </w:r>
          <w:r>
            <w:tab/>
          </w:r>
          <w:r>
            <w:fldChar w:fldCharType="begin"/>
          </w:r>
          <w:r>
            <w:instrText xml:space="preserve"> PAGEREF _Toc15989 \h </w:instrText>
          </w:r>
          <w:r>
            <w:fldChar w:fldCharType="separate"/>
          </w:r>
          <w:r>
            <w:t>209</w:t>
          </w:r>
          <w:r>
            <w:fldChar w:fldCharType="end"/>
          </w:r>
          <w:r>
            <w:fldChar w:fldCharType="end"/>
          </w:r>
        </w:p>
        <w:p>
          <w:pPr>
            <w:pStyle w:val="11"/>
            <w:tabs>
              <w:tab w:val="right" w:leader="dot" w:pos="8306"/>
            </w:tabs>
          </w:pPr>
          <w:r>
            <w:fldChar w:fldCharType="begin"/>
          </w:r>
          <w:r>
            <w:instrText xml:space="preserve"> HYPERLINK \l _Toc15372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_Toc15372 \h </w:instrText>
          </w:r>
          <w:r>
            <w:fldChar w:fldCharType="separate"/>
          </w:r>
          <w:r>
            <w:t>209</w:t>
          </w:r>
          <w:r>
            <w:fldChar w:fldCharType="end"/>
          </w:r>
          <w:r>
            <w:fldChar w:fldCharType="end"/>
          </w:r>
        </w:p>
        <w:p>
          <w:pPr>
            <w:pStyle w:val="11"/>
            <w:tabs>
              <w:tab w:val="right" w:leader="dot" w:pos="8306"/>
            </w:tabs>
          </w:pPr>
          <w:r>
            <w:fldChar w:fldCharType="begin"/>
          </w:r>
          <w:r>
            <w:instrText xml:space="preserve"> HYPERLINK \l _Toc18036 </w:instrText>
          </w:r>
          <w:r>
            <w:fldChar w:fldCharType="separate"/>
          </w:r>
          <w:r>
            <w:rPr>
              <w:rFonts w:hint="eastAsia" w:cs="宋体" w:asciiTheme="majorEastAsia" w:hAnsiTheme="majorEastAsia" w:eastAsiaTheme="majorEastAsia"/>
              <w:bCs/>
            </w:rPr>
            <w:t>第二章承兑</w:t>
          </w:r>
          <w:r>
            <w:tab/>
          </w:r>
          <w:r>
            <w:fldChar w:fldCharType="begin"/>
          </w:r>
          <w:r>
            <w:instrText xml:space="preserve"> PAGEREF _Toc18036 \h </w:instrText>
          </w:r>
          <w:r>
            <w:fldChar w:fldCharType="separate"/>
          </w:r>
          <w:r>
            <w:t>209</w:t>
          </w:r>
          <w:r>
            <w:fldChar w:fldCharType="end"/>
          </w:r>
          <w:r>
            <w:fldChar w:fldCharType="end"/>
          </w:r>
        </w:p>
        <w:p>
          <w:pPr>
            <w:pStyle w:val="11"/>
            <w:tabs>
              <w:tab w:val="right" w:leader="dot" w:pos="8306"/>
            </w:tabs>
          </w:pPr>
          <w:r>
            <w:fldChar w:fldCharType="begin"/>
          </w:r>
          <w:r>
            <w:instrText xml:space="preserve"> HYPERLINK \l _Toc16551 </w:instrText>
          </w:r>
          <w:r>
            <w:fldChar w:fldCharType="separate"/>
          </w:r>
          <w:r>
            <w:rPr>
              <w:rFonts w:hint="eastAsia" w:cs="宋体" w:asciiTheme="majorEastAsia" w:hAnsiTheme="majorEastAsia" w:eastAsiaTheme="majorEastAsia"/>
              <w:bCs/>
            </w:rPr>
            <w:t>第三章贴现和再贴现</w:t>
          </w:r>
          <w:r>
            <w:tab/>
          </w:r>
          <w:r>
            <w:fldChar w:fldCharType="begin"/>
          </w:r>
          <w:r>
            <w:instrText xml:space="preserve"> PAGEREF _Toc16551 \h </w:instrText>
          </w:r>
          <w:r>
            <w:fldChar w:fldCharType="separate"/>
          </w:r>
          <w:r>
            <w:t>210</w:t>
          </w:r>
          <w:r>
            <w:fldChar w:fldCharType="end"/>
          </w:r>
          <w:r>
            <w:fldChar w:fldCharType="end"/>
          </w:r>
        </w:p>
        <w:p>
          <w:pPr>
            <w:pStyle w:val="11"/>
            <w:tabs>
              <w:tab w:val="right" w:leader="dot" w:pos="8306"/>
            </w:tabs>
          </w:pPr>
          <w:r>
            <w:fldChar w:fldCharType="begin"/>
          </w:r>
          <w:r>
            <w:instrText xml:space="preserve"> HYPERLINK \l _Toc23803 </w:instrText>
          </w:r>
          <w:r>
            <w:fldChar w:fldCharType="separate"/>
          </w:r>
          <w:r>
            <w:rPr>
              <w:rFonts w:hint="eastAsia" w:cs="宋体" w:asciiTheme="majorEastAsia" w:hAnsiTheme="majorEastAsia" w:eastAsiaTheme="majorEastAsia"/>
              <w:bCs/>
            </w:rPr>
            <w:t>第四章风险控制</w:t>
          </w:r>
          <w:r>
            <w:tab/>
          </w:r>
          <w:r>
            <w:fldChar w:fldCharType="begin"/>
          </w:r>
          <w:r>
            <w:instrText xml:space="preserve"> PAGEREF _Toc23803 \h </w:instrText>
          </w:r>
          <w:r>
            <w:fldChar w:fldCharType="separate"/>
          </w:r>
          <w:r>
            <w:t>211</w:t>
          </w:r>
          <w:r>
            <w:fldChar w:fldCharType="end"/>
          </w:r>
          <w:r>
            <w:fldChar w:fldCharType="end"/>
          </w:r>
        </w:p>
        <w:p>
          <w:pPr>
            <w:pStyle w:val="11"/>
            <w:tabs>
              <w:tab w:val="right" w:leader="dot" w:pos="8306"/>
            </w:tabs>
          </w:pPr>
          <w:r>
            <w:fldChar w:fldCharType="begin"/>
          </w:r>
          <w:r>
            <w:instrText xml:space="preserve"> HYPERLINK \l _Toc8620 </w:instrText>
          </w:r>
          <w:r>
            <w:fldChar w:fldCharType="separate"/>
          </w:r>
          <w:r>
            <w:rPr>
              <w:rFonts w:hint="eastAsia" w:cs="宋体" w:asciiTheme="majorEastAsia" w:hAnsiTheme="majorEastAsia" w:eastAsiaTheme="majorEastAsia"/>
              <w:bCs/>
            </w:rPr>
            <w:t>第五章信息披露</w:t>
          </w:r>
          <w:r>
            <w:tab/>
          </w:r>
          <w:r>
            <w:fldChar w:fldCharType="begin"/>
          </w:r>
          <w:r>
            <w:instrText xml:space="preserve"> PAGEREF _Toc8620 \h </w:instrText>
          </w:r>
          <w:r>
            <w:fldChar w:fldCharType="separate"/>
          </w:r>
          <w:r>
            <w:t>212</w:t>
          </w:r>
          <w:r>
            <w:fldChar w:fldCharType="end"/>
          </w:r>
          <w:r>
            <w:fldChar w:fldCharType="end"/>
          </w:r>
        </w:p>
        <w:p>
          <w:pPr>
            <w:pStyle w:val="11"/>
            <w:tabs>
              <w:tab w:val="right" w:leader="dot" w:pos="8306"/>
            </w:tabs>
          </w:pPr>
          <w:r>
            <w:fldChar w:fldCharType="begin"/>
          </w:r>
          <w:r>
            <w:instrText xml:space="preserve"> HYPERLINK \l _Toc5955 </w:instrText>
          </w:r>
          <w:r>
            <w:fldChar w:fldCharType="separate"/>
          </w:r>
          <w:r>
            <w:rPr>
              <w:rFonts w:hint="eastAsia" w:cs="宋体" w:asciiTheme="majorEastAsia" w:hAnsiTheme="majorEastAsia" w:eastAsiaTheme="majorEastAsia"/>
              <w:bCs/>
            </w:rPr>
            <w:t>第六章监督管理</w:t>
          </w:r>
          <w:r>
            <w:tab/>
          </w:r>
          <w:r>
            <w:fldChar w:fldCharType="begin"/>
          </w:r>
          <w:r>
            <w:instrText xml:space="preserve"> PAGEREF _Toc5955 \h </w:instrText>
          </w:r>
          <w:r>
            <w:fldChar w:fldCharType="separate"/>
          </w:r>
          <w:r>
            <w:t>212</w:t>
          </w:r>
          <w:r>
            <w:fldChar w:fldCharType="end"/>
          </w:r>
          <w:r>
            <w:fldChar w:fldCharType="end"/>
          </w:r>
        </w:p>
        <w:p>
          <w:pPr>
            <w:pStyle w:val="11"/>
            <w:tabs>
              <w:tab w:val="right" w:leader="dot" w:pos="8306"/>
            </w:tabs>
          </w:pPr>
          <w:r>
            <w:fldChar w:fldCharType="begin"/>
          </w:r>
          <w:r>
            <w:instrText xml:space="preserve"> HYPERLINK \l _Toc31084 </w:instrText>
          </w:r>
          <w:r>
            <w:fldChar w:fldCharType="separate"/>
          </w:r>
          <w:r>
            <w:rPr>
              <w:rFonts w:hint="eastAsia" w:cs="宋体" w:asciiTheme="majorEastAsia" w:hAnsiTheme="majorEastAsia" w:eastAsiaTheme="majorEastAsia"/>
              <w:bCs/>
            </w:rPr>
            <w:t>第七章法律责任</w:t>
          </w:r>
          <w:r>
            <w:tab/>
          </w:r>
          <w:r>
            <w:fldChar w:fldCharType="begin"/>
          </w:r>
          <w:r>
            <w:instrText xml:space="preserve"> PAGEREF _Toc31084 \h </w:instrText>
          </w:r>
          <w:r>
            <w:fldChar w:fldCharType="separate"/>
          </w:r>
          <w:r>
            <w:t>213</w:t>
          </w:r>
          <w:r>
            <w:fldChar w:fldCharType="end"/>
          </w:r>
          <w:r>
            <w:fldChar w:fldCharType="end"/>
          </w:r>
        </w:p>
        <w:p>
          <w:pPr>
            <w:pStyle w:val="11"/>
            <w:tabs>
              <w:tab w:val="right" w:leader="dot" w:pos="8306"/>
            </w:tabs>
          </w:pPr>
          <w:r>
            <w:fldChar w:fldCharType="begin"/>
          </w:r>
          <w:r>
            <w:instrText xml:space="preserve"> HYPERLINK \l _Toc8273 </w:instrText>
          </w:r>
          <w:r>
            <w:fldChar w:fldCharType="separate"/>
          </w:r>
          <w:r>
            <w:rPr>
              <w:rFonts w:hint="eastAsia" w:cs="宋体" w:asciiTheme="majorEastAsia" w:hAnsiTheme="majorEastAsia" w:eastAsiaTheme="majorEastAsia"/>
              <w:bCs/>
            </w:rPr>
            <w:t>第八章附则</w:t>
          </w:r>
          <w:r>
            <w:tab/>
          </w:r>
          <w:r>
            <w:fldChar w:fldCharType="begin"/>
          </w:r>
          <w:r>
            <w:instrText xml:space="preserve"> PAGEREF _Toc8273 \h </w:instrText>
          </w:r>
          <w:r>
            <w:fldChar w:fldCharType="separate"/>
          </w:r>
          <w:r>
            <w:t>213</w:t>
          </w:r>
          <w:r>
            <w:fldChar w:fldCharType="end"/>
          </w:r>
          <w:r>
            <w:fldChar w:fldCharType="end"/>
          </w:r>
        </w:p>
        <w:p>
          <w:pPr>
            <w:pStyle w:val="11"/>
            <w:tabs>
              <w:tab w:val="right" w:leader="dot" w:pos="8306"/>
            </w:tabs>
          </w:pPr>
          <w:r>
            <w:fldChar w:fldCharType="begin"/>
          </w:r>
          <w:r>
            <w:instrText xml:space="preserve"> HYPERLINK \l _Toc16625 </w:instrText>
          </w:r>
          <w:r>
            <w:fldChar w:fldCharType="separate"/>
          </w:r>
          <w:r>
            <w:rPr>
              <w:rFonts w:cs="宋体" w:asciiTheme="majorEastAsia" w:hAnsiTheme="majorEastAsia" w:eastAsiaTheme="majorEastAsia"/>
              <w:bCs/>
              <w:szCs w:val="24"/>
              <w:lang w:val="en-US" w:eastAsia="zh-CN" w:bidi="ar-SA"/>
            </w:rPr>
            <w:t>23.</w:t>
          </w:r>
          <w:r>
            <w:rPr>
              <w:rFonts w:hint="eastAsia"/>
            </w:rPr>
            <w:t>《商业银行实施统一授信制度指引》（试行）</w:t>
          </w:r>
          <w:r>
            <w:tab/>
          </w:r>
          <w:r>
            <w:fldChar w:fldCharType="begin"/>
          </w:r>
          <w:r>
            <w:instrText xml:space="preserve"> PAGEREF _Toc16625 \h </w:instrText>
          </w:r>
          <w:r>
            <w:fldChar w:fldCharType="separate"/>
          </w:r>
          <w:r>
            <w:t>214</w:t>
          </w:r>
          <w:r>
            <w:fldChar w:fldCharType="end"/>
          </w:r>
          <w:r>
            <w:fldChar w:fldCharType="end"/>
          </w:r>
        </w:p>
        <w:p>
          <w:pPr>
            <w:pStyle w:val="11"/>
            <w:tabs>
              <w:tab w:val="right" w:leader="dot" w:pos="8306"/>
            </w:tabs>
          </w:pPr>
          <w:r>
            <w:fldChar w:fldCharType="begin"/>
          </w:r>
          <w:r>
            <w:instrText xml:space="preserve"> HYPERLINK \l _Toc26327 </w:instrText>
          </w:r>
          <w:r>
            <w:fldChar w:fldCharType="separate"/>
          </w:r>
          <w:r>
            <w:rPr>
              <w:rFonts w:cs="宋体" w:asciiTheme="majorEastAsia" w:hAnsiTheme="majorEastAsia" w:eastAsiaTheme="majorEastAsia"/>
              <w:bCs/>
              <w:szCs w:val="24"/>
              <w:lang w:val="en-US" w:eastAsia="zh-CN" w:bidi="ar-SA"/>
            </w:rPr>
            <w:t>24.</w:t>
          </w:r>
          <w:r>
            <w:rPr>
              <w:rFonts w:hint="eastAsia"/>
            </w:rPr>
            <w:t>《商业银行授信工作尽职指引》</w:t>
          </w:r>
          <w:r>
            <w:tab/>
          </w:r>
          <w:r>
            <w:fldChar w:fldCharType="begin"/>
          </w:r>
          <w:r>
            <w:instrText xml:space="preserve"> PAGEREF _Toc26327 \h </w:instrText>
          </w:r>
          <w:r>
            <w:fldChar w:fldCharType="separate"/>
          </w:r>
          <w:r>
            <w:t>217</w:t>
          </w:r>
          <w:r>
            <w:fldChar w:fldCharType="end"/>
          </w:r>
          <w:r>
            <w:fldChar w:fldCharType="end"/>
          </w:r>
        </w:p>
        <w:p>
          <w:pPr>
            <w:pStyle w:val="11"/>
            <w:tabs>
              <w:tab w:val="right" w:leader="dot" w:pos="8306"/>
            </w:tabs>
          </w:pPr>
          <w:r>
            <w:fldChar w:fldCharType="begin"/>
          </w:r>
          <w:r>
            <w:instrText xml:space="preserve"> HYPERLINK \l _Toc18117 </w:instrText>
          </w:r>
          <w:r>
            <w:fldChar w:fldCharType="separate"/>
          </w:r>
          <w:r>
            <w:rPr>
              <w:rFonts w:hint="eastAsia" w:cs="宋体" w:asciiTheme="majorEastAsia" w:hAnsiTheme="majorEastAsia" w:eastAsiaTheme="majorEastAsia"/>
            </w:rPr>
            <w:t>发文机构：中国银行业监督管理委员会（已撤销）</w:t>
          </w:r>
          <w:r>
            <w:tab/>
          </w:r>
          <w:r>
            <w:fldChar w:fldCharType="begin"/>
          </w:r>
          <w:r>
            <w:instrText xml:space="preserve"> PAGEREF _Toc18117 \h </w:instrText>
          </w:r>
          <w:r>
            <w:fldChar w:fldCharType="separate"/>
          </w:r>
          <w:r>
            <w:t>217</w:t>
          </w:r>
          <w:r>
            <w:fldChar w:fldCharType="end"/>
          </w:r>
          <w:r>
            <w:fldChar w:fldCharType="end"/>
          </w:r>
        </w:p>
        <w:p>
          <w:pPr>
            <w:pStyle w:val="11"/>
            <w:tabs>
              <w:tab w:val="right" w:leader="dot" w:pos="8306"/>
            </w:tabs>
          </w:pPr>
          <w:r>
            <w:fldChar w:fldCharType="begin"/>
          </w:r>
          <w:r>
            <w:instrText xml:space="preserve"> HYPERLINK \l _Toc14157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_Toc14157 \h </w:instrText>
          </w:r>
          <w:r>
            <w:fldChar w:fldCharType="separate"/>
          </w:r>
          <w:r>
            <w:t>217</w:t>
          </w:r>
          <w:r>
            <w:fldChar w:fldCharType="end"/>
          </w:r>
          <w:r>
            <w:fldChar w:fldCharType="end"/>
          </w:r>
        </w:p>
        <w:p>
          <w:pPr>
            <w:pStyle w:val="11"/>
            <w:tabs>
              <w:tab w:val="right" w:leader="dot" w:pos="8306"/>
            </w:tabs>
          </w:pPr>
          <w:r>
            <w:fldChar w:fldCharType="begin"/>
          </w:r>
          <w:r>
            <w:instrText xml:space="preserve"> HYPERLINK \l _Toc25905 </w:instrText>
          </w:r>
          <w:r>
            <w:fldChar w:fldCharType="separate"/>
          </w:r>
          <w:r>
            <w:rPr>
              <w:rFonts w:hint="eastAsia" w:cs="宋体" w:asciiTheme="majorEastAsia" w:hAnsiTheme="majorEastAsia" w:eastAsiaTheme="majorEastAsia"/>
              <w:bCs/>
            </w:rPr>
            <w:t>第二章客户调查和业务受理尽职要求</w:t>
          </w:r>
          <w:r>
            <w:tab/>
          </w:r>
          <w:r>
            <w:fldChar w:fldCharType="begin"/>
          </w:r>
          <w:r>
            <w:instrText xml:space="preserve"> PAGEREF _Toc25905 \h </w:instrText>
          </w:r>
          <w:r>
            <w:fldChar w:fldCharType="separate"/>
          </w:r>
          <w:r>
            <w:t>218</w:t>
          </w:r>
          <w:r>
            <w:fldChar w:fldCharType="end"/>
          </w:r>
          <w:r>
            <w:fldChar w:fldCharType="end"/>
          </w:r>
        </w:p>
        <w:p>
          <w:pPr>
            <w:pStyle w:val="11"/>
            <w:tabs>
              <w:tab w:val="right" w:leader="dot" w:pos="8306"/>
            </w:tabs>
          </w:pPr>
          <w:r>
            <w:fldChar w:fldCharType="begin"/>
          </w:r>
          <w:r>
            <w:instrText xml:space="preserve"> HYPERLINK \l _Toc3009 </w:instrText>
          </w:r>
          <w:r>
            <w:fldChar w:fldCharType="separate"/>
          </w:r>
          <w:r>
            <w:rPr>
              <w:rFonts w:hint="eastAsia" w:cs="宋体" w:asciiTheme="majorEastAsia" w:hAnsiTheme="majorEastAsia" w:eastAsiaTheme="majorEastAsia"/>
              <w:bCs/>
            </w:rPr>
            <w:t>第三章分析与评价尽职要求</w:t>
          </w:r>
          <w:r>
            <w:tab/>
          </w:r>
          <w:r>
            <w:fldChar w:fldCharType="begin"/>
          </w:r>
          <w:r>
            <w:instrText xml:space="preserve"> PAGEREF _Toc3009 \h </w:instrText>
          </w:r>
          <w:r>
            <w:fldChar w:fldCharType="separate"/>
          </w:r>
          <w:r>
            <w:t>219</w:t>
          </w:r>
          <w:r>
            <w:fldChar w:fldCharType="end"/>
          </w:r>
          <w:r>
            <w:fldChar w:fldCharType="end"/>
          </w:r>
        </w:p>
        <w:p>
          <w:pPr>
            <w:pStyle w:val="11"/>
            <w:tabs>
              <w:tab w:val="right" w:leader="dot" w:pos="8306"/>
            </w:tabs>
          </w:pPr>
          <w:r>
            <w:fldChar w:fldCharType="begin"/>
          </w:r>
          <w:r>
            <w:instrText xml:space="preserve"> HYPERLINK \l _Toc15180 </w:instrText>
          </w:r>
          <w:r>
            <w:fldChar w:fldCharType="separate"/>
          </w:r>
          <w:r>
            <w:rPr>
              <w:rFonts w:hint="eastAsia" w:cs="宋体" w:asciiTheme="majorEastAsia" w:hAnsiTheme="majorEastAsia" w:eastAsiaTheme="majorEastAsia"/>
              <w:bCs/>
            </w:rPr>
            <w:t>第四章授信决策与实施尽职要求</w:t>
          </w:r>
          <w:r>
            <w:tab/>
          </w:r>
          <w:r>
            <w:fldChar w:fldCharType="begin"/>
          </w:r>
          <w:r>
            <w:instrText xml:space="preserve"> PAGEREF _Toc15180 \h </w:instrText>
          </w:r>
          <w:r>
            <w:fldChar w:fldCharType="separate"/>
          </w:r>
          <w:r>
            <w:t>221</w:t>
          </w:r>
          <w:r>
            <w:fldChar w:fldCharType="end"/>
          </w:r>
          <w:r>
            <w:fldChar w:fldCharType="end"/>
          </w:r>
        </w:p>
        <w:p>
          <w:pPr>
            <w:pStyle w:val="11"/>
            <w:tabs>
              <w:tab w:val="right" w:leader="dot" w:pos="8306"/>
            </w:tabs>
          </w:pPr>
          <w:r>
            <w:fldChar w:fldCharType="begin"/>
          </w:r>
          <w:r>
            <w:instrText xml:space="preserve"> HYPERLINK \l _Toc26409 </w:instrText>
          </w:r>
          <w:r>
            <w:fldChar w:fldCharType="separate"/>
          </w:r>
          <w:r>
            <w:rPr>
              <w:rFonts w:hint="eastAsia" w:cs="宋体" w:asciiTheme="majorEastAsia" w:hAnsiTheme="majorEastAsia" w:eastAsiaTheme="majorEastAsia"/>
              <w:bCs/>
            </w:rPr>
            <w:t>第五章授信后管理和问题授信处理尽职要求</w:t>
          </w:r>
          <w:r>
            <w:tab/>
          </w:r>
          <w:r>
            <w:fldChar w:fldCharType="begin"/>
          </w:r>
          <w:r>
            <w:instrText xml:space="preserve"> PAGEREF _Toc26409 \h </w:instrText>
          </w:r>
          <w:r>
            <w:fldChar w:fldCharType="separate"/>
          </w:r>
          <w:r>
            <w:t>222</w:t>
          </w:r>
          <w:r>
            <w:fldChar w:fldCharType="end"/>
          </w:r>
          <w:r>
            <w:fldChar w:fldCharType="end"/>
          </w:r>
        </w:p>
        <w:p>
          <w:pPr>
            <w:pStyle w:val="11"/>
            <w:tabs>
              <w:tab w:val="right" w:leader="dot" w:pos="8306"/>
            </w:tabs>
          </w:pPr>
          <w:r>
            <w:fldChar w:fldCharType="begin"/>
          </w:r>
          <w:r>
            <w:instrText xml:space="preserve"> HYPERLINK \l _Toc1927 </w:instrText>
          </w:r>
          <w:r>
            <w:fldChar w:fldCharType="separate"/>
          </w:r>
          <w:r>
            <w:rPr>
              <w:rFonts w:hint="eastAsia" w:cs="宋体" w:asciiTheme="majorEastAsia" w:hAnsiTheme="majorEastAsia" w:eastAsiaTheme="majorEastAsia"/>
              <w:bCs/>
            </w:rPr>
            <w:t>第六章授信工作尽职调查要求</w:t>
          </w:r>
          <w:r>
            <w:tab/>
          </w:r>
          <w:r>
            <w:fldChar w:fldCharType="begin"/>
          </w:r>
          <w:r>
            <w:instrText xml:space="preserve"> PAGEREF _Toc1927 \h </w:instrText>
          </w:r>
          <w:r>
            <w:fldChar w:fldCharType="separate"/>
          </w:r>
          <w:r>
            <w:t>223</w:t>
          </w:r>
          <w:r>
            <w:fldChar w:fldCharType="end"/>
          </w:r>
          <w:r>
            <w:fldChar w:fldCharType="end"/>
          </w:r>
        </w:p>
        <w:p>
          <w:pPr>
            <w:pStyle w:val="11"/>
            <w:tabs>
              <w:tab w:val="right" w:leader="dot" w:pos="8306"/>
            </w:tabs>
          </w:pPr>
          <w:r>
            <w:fldChar w:fldCharType="begin"/>
          </w:r>
          <w:r>
            <w:instrText xml:space="preserve"> HYPERLINK \l _Toc60 </w:instrText>
          </w:r>
          <w:r>
            <w:fldChar w:fldCharType="separate"/>
          </w:r>
          <w:r>
            <w:rPr>
              <w:rFonts w:hint="eastAsia" w:cs="宋体" w:asciiTheme="majorEastAsia" w:hAnsiTheme="majorEastAsia" w:eastAsiaTheme="majorEastAsia"/>
              <w:bCs/>
            </w:rPr>
            <w:t>第七章附则</w:t>
          </w:r>
          <w:r>
            <w:tab/>
          </w:r>
          <w:r>
            <w:fldChar w:fldCharType="begin"/>
          </w:r>
          <w:r>
            <w:instrText xml:space="preserve"> PAGEREF _Toc60 \h </w:instrText>
          </w:r>
          <w:r>
            <w:fldChar w:fldCharType="separate"/>
          </w:r>
          <w:r>
            <w:t>224</w:t>
          </w:r>
          <w:r>
            <w:fldChar w:fldCharType="end"/>
          </w:r>
          <w:r>
            <w:fldChar w:fldCharType="end"/>
          </w:r>
        </w:p>
        <w:p>
          <w:pPr>
            <w:pStyle w:val="11"/>
            <w:tabs>
              <w:tab w:val="right" w:leader="dot" w:pos="8306"/>
            </w:tabs>
          </w:pPr>
          <w:r>
            <w:fldChar w:fldCharType="begin"/>
          </w:r>
          <w:r>
            <w:instrText xml:space="preserve"> HYPERLINK \l _Toc30623 </w:instrText>
          </w:r>
          <w:r>
            <w:fldChar w:fldCharType="separate"/>
          </w:r>
          <w:r>
            <w:rPr>
              <w:rFonts w:cs="宋体" w:asciiTheme="majorEastAsia" w:hAnsiTheme="majorEastAsia" w:eastAsiaTheme="majorEastAsia"/>
              <w:bCs/>
              <w:szCs w:val="24"/>
              <w:lang w:val="en-US" w:eastAsia="zh-CN" w:bidi="ar-SA"/>
            </w:rPr>
            <w:t>25.</w:t>
          </w:r>
          <w:r>
            <w:rPr>
              <w:rFonts w:hint="eastAsia"/>
            </w:rPr>
            <w:t>《银行抵债资产管理办法的通知》</w:t>
          </w:r>
          <w:r>
            <w:tab/>
          </w:r>
          <w:r>
            <w:fldChar w:fldCharType="begin"/>
          </w:r>
          <w:r>
            <w:instrText xml:space="preserve"> PAGEREF _Toc30623 \h </w:instrText>
          </w:r>
          <w:r>
            <w:fldChar w:fldCharType="separate"/>
          </w:r>
          <w:r>
            <w:t>235</w:t>
          </w:r>
          <w:r>
            <w:fldChar w:fldCharType="end"/>
          </w:r>
          <w:r>
            <w:fldChar w:fldCharType="end"/>
          </w:r>
        </w:p>
        <w:p>
          <w:pPr>
            <w:pStyle w:val="11"/>
            <w:tabs>
              <w:tab w:val="right" w:leader="dot" w:pos="8306"/>
            </w:tabs>
          </w:pPr>
          <w:r>
            <w:fldChar w:fldCharType="begin"/>
          </w:r>
          <w:r>
            <w:instrText xml:space="preserve"> HYPERLINK \l _Toc24607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_Toc24607 \h </w:instrText>
          </w:r>
          <w:r>
            <w:fldChar w:fldCharType="separate"/>
          </w:r>
          <w:r>
            <w:t>235</w:t>
          </w:r>
          <w:r>
            <w:fldChar w:fldCharType="end"/>
          </w:r>
          <w:r>
            <w:fldChar w:fldCharType="end"/>
          </w:r>
        </w:p>
        <w:p>
          <w:pPr>
            <w:pStyle w:val="11"/>
            <w:tabs>
              <w:tab w:val="right" w:leader="dot" w:pos="8306"/>
            </w:tabs>
          </w:pPr>
          <w:r>
            <w:fldChar w:fldCharType="begin"/>
          </w:r>
          <w:r>
            <w:instrText xml:space="preserve"> HYPERLINK \l _Toc8475 </w:instrText>
          </w:r>
          <w:r>
            <w:fldChar w:fldCharType="separate"/>
          </w:r>
          <w:r>
            <w:rPr>
              <w:rFonts w:hint="eastAsia" w:cs="宋体" w:asciiTheme="majorEastAsia" w:hAnsiTheme="majorEastAsia" w:eastAsiaTheme="majorEastAsia"/>
              <w:bCs/>
            </w:rPr>
            <w:t>第二章抵债资产的收取</w:t>
          </w:r>
          <w:r>
            <w:tab/>
          </w:r>
          <w:r>
            <w:fldChar w:fldCharType="begin"/>
          </w:r>
          <w:r>
            <w:instrText xml:space="preserve"> PAGEREF _Toc8475 \h </w:instrText>
          </w:r>
          <w:r>
            <w:fldChar w:fldCharType="separate"/>
          </w:r>
          <w:r>
            <w:t>236</w:t>
          </w:r>
          <w:r>
            <w:fldChar w:fldCharType="end"/>
          </w:r>
          <w:r>
            <w:fldChar w:fldCharType="end"/>
          </w:r>
        </w:p>
        <w:p>
          <w:pPr>
            <w:pStyle w:val="11"/>
            <w:tabs>
              <w:tab w:val="right" w:leader="dot" w:pos="8306"/>
            </w:tabs>
          </w:pPr>
          <w:r>
            <w:fldChar w:fldCharType="begin"/>
          </w:r>
          <w:r>
            <w:instrText xml:space="preserve"> HYPERLINK \l _Toc31588 </w:instrText>
          </w:r>
          <w:r>
            <w:fldChar w:fldCharType="separate"/>
          </w:r>
          <w:r>
            <w:rPr>
              <w:rFonts w:hint="eastAsia" w:cs="宋体" w:asciiTheme="majorEastAsia" w:hAnsiTheme="majorEastAsia" w:eastAsiaTheme="majorEastAsia"/>
              <w:bCs/>
            </w:rPr>
            <w:t>第三章抵债资产的保管</w:t>
          </w:r>
          <w:r>
            <w:tab/>
          </w:r>
          <w:r>
            <w:fldChar w:fldCharType="begin"/>
          </w:r>
          <w:r>
            <w:instrText xml:space="preserve"> PAGEREF _Toc31588 \h </w:instrText>
          </w:r>
          <w:r>
            <w:fldChar w:fldCharType="separate"/>
          </w:r>
          <w:r>
            <w:t>238</w:t>
          </w:r>
          <w:r>
            <w:fldChar w:fldCharType="end"/>
          </w:r>
          <w:r>
            <w:fldChar w:fldCharType="end"/>
          </w:r>
        </w:p>
        <w:p>
          <w:pPr>
            <w:pStyle w:val="11"/>
            <w:tabs>
              <w:tab w:val="right" w:leader="dot" w:pos="8306"/>
            </w:tabs>
          </w:pPr>
          <w:r>
            <w:fldChar w:fldCharType="begin"/>
          </w:r>
          <w:r>
            <w:instrText xml:space="preserve"> HYPERLINK \l _Toc11968 </w:instrText>
          </w:r>
          <w:r>
            <w:fldChar w:fldCharType="separate"/>
          </w:r>
          <w:r>
            <w:rPr>
              <w:rFonts w:hint="eastAsia" w:cs="宋体" w:asciiTheme="majorEastAsia" w:hAnsiTheme="majorEastAsia" w:eastAsiaTheme="majorEastAsia"/>
              <w:bCs/>
            </w:rPr>
            <w:t>第四章抵债资产的处置</w:t>
          </w:r>
          <w:r>
            <w:tab/>
          </w:r>
          <w:r>
            <w:fldChar w:fldCharType="begin"/>
          </w:r>
          <w:r>
            <w:instrText xml:space="preserve"> PAGEREF _Toc11968 \h </w:instrText>
          </w:r>
          <w:r>
            <w:fldChar w:fldCharType="separate"/>
          </w:r>
          <w:r>
            <w:t>239</w:t>
          </w:r>
          <w:r>
            <w:fldChar w:fldCharType="end"/>
          </w:r>
          <w:r>
            <w:fldChar w:fldCharType="end"/>
          </w:r>
        </w:p>
        <w:p>
          <w:pPr>
            <w:pStyle w:val="11"/>
            <w:tabs>
              <w:tab w:val="right" w:leader="dot" w:pos="8306"/>
            </w:tabs>
          </w:pPr>
          <w:r>
            <w:fldChar w:fldCharType="begin"/>
          </w:r>
          <w:r>
            <w:instrText xml:space="preserve"> HYPERLINK \l _Toc16437 </w:instrText>
          </w:r>
          <w:r>
            <w:fldChar w:fldCharType="separate"/>
          </w:r>
          <w:r>
            <w:rPr>
              <w:rFonts w:hint="eastAsia" w:cs="宋体" w:asciiTheme="majorEastAsia" w:hAnsiTheme="majorEastAsia" w:eastAsiaTheme="majorEastAsia"/>
              <w:bCs/>
            </w:rPr>
            <w:t>第五章账务处理</w:t>
          </w:r>
          <w:r>
            <w:tab/>
          </w:r>
          <w:r>
            <w:fldChar w:fldCharType="begin"/>
          </w:r>
          <w:r>
            <w:instrText xml:space="preserve"> PAGEREF _Toc16437 \h </w:instrText>
          </w:r>
          <w:r>
            <w:fldChar w:fldCharType="separate"/>
          </w:r>
          <w:r>
            <w:t>240</w:t>
          </w:r>
          <w:r>
            <w:fldChar w:fldCharType="end"/>
          </w:r>
          <w:r>
            <w:fldChar w:fldCharType="end"/>
          </w:r>
        </w:p>
        <w:p>
          <w:pPr>
            <w:pStyle w:val="11"/>
            <w:tabs>
              <w:tab w:val="right" w:leader="dot" w:pos="8306"/>
            </w:tabs>
          </w:pPr>
          <w:r>
            <w:fldChar w:fldCharType="begin"/>
          </w:r>
          <w:r>
            <w:instrText xml:space="preserve"> HYPERLINK \l _Toc29347 </w:instrText>
          </w:r>
          <w:r>
            <w:fldChar w:fldCharType="separate"/>
          </w:r>
          <w:r>
            <w:rPr>
              <w:rFonts w:hint="eastAsia" w:cs="宋体" w:asciiTheme="majorEastAsia" w:hAnsiTheme="majorEastAsia" w:eastAsiaTheme="majorEastAsia"/>
              <w:bCs/>
            </w:rPr>
            <w:t>第六章监督检查</w:t>
          </w:r>
          <w:r>
            <w:tab/>
          </w:r>
          <w:r>
            <w:fldChar w:fldCharType="begin"/>
          </w:r>
          <w:r>
            <w:instrText xml:space="preserve"> PAGEREF _Toc29347 \h </w:instrText>
          </w:r>
          <w:r>
            <w:fldChar w:fldCharType="separate"/>
          </w:r>
          <w:r>
            <w:t>241</w:t>
          </w:r>
          <w:r>
            <w:fldChar w:fldCharType="end"/>
          </w:r>
          <w:r>
            <w:fldChar w:fldCharType="end"/>
          </w:r>
        </w:p>
        <w:p>
          <w:pPr>
            <w:pStyle w:val="11"/>
            <w:tabs>
              <w:tab w:val="right" w:leader="dot" w:pos="8306"/>
            </w:tabs>
          </w:pPr>
          <w:r>
            <w:fldChar w:fldCharType="begin"/>
          </w:r>
          <w:r>
            <w:instrText xml:space="preserve"> HYPERLINK \l _Toc10914 </w:instrText>
          </w:r>
          <w:r>
            <w:fldChar w:fldCharType="separate"/>
          </w:r>
          <w:r>
            <w:rPr>
              <w:rFonts w:hint="eastAsia" w:cs="宋体" w:asciiTheme="majorEastAsia" w:hAnsiTheme="majorEastAsia" w:eastAsiaTheme="majorEastAsia"/>
              <w:bCs/>
            </w:rPr>
            <w:t>第七章附则</w:t>
          </w:r>
          <w:r>
            <w:tab/>
          </w:r>
          <w:r>
            <w:fldChar w:fldCharType="begin"/>
          </w:r>
          <w:r>
            <w:instrText xml:space="preserve"> PAGEREF _Toc10914 \h </w:instrText>
          </w:r>
          <w:r>
            <w:fldChar w:fldCharType="separate"/>
          </w:r>
          <w:r>
            <w:t>242</w:t>
          </w:r>
          <w:r>
            <w:fldChar w:fldCharType="end"/>
          </w:r>
          <w:r>
            <w:fldChar w:fldCharType="end"/>
          </w:r>
        </w:p>
        <w:p>
          <w:pPr>
            <w:pStyle w:val="11"/>
            <w:tabs>
              <w:tab w:val="right" w:leader="dot" w:pos="8306"/>
            </w:tabs>
          </w:pPr>
          <w:r>
            <w:fldChar w:fldCharType="begin"/>
          </w:r>
          <w:r>
            <w:instrText xml:space="preserve"> HYPERLINK \l _Toc18876 </w:instrText>
          </w:r>
          <w:r>
            <w:fldChar w:fldCharType="separate"/>
          </w:r>
          <w:r>
            <w:rPr>
              <w:rFonts w:cs="宋体" w:asciiTheme="majorEastAsia" w:hAnsiTheme="majorEastAsia" w:eastAsiaTheme="majorEastAsia"/>
              <w:bCs/>
              <w:szCs w:val="24"/>
              <w:lang w:val="en-US" w:eastAsia="zh-CN" w:bidi="ar-SA"/>
            </w:rPr>
            <w:t>26.</w:t>
          </w:r>
          <w:r>
            <w:rPr>
              <w:rFonts w:hint="eastAsia"/>
            </w:rPr>
            <w:t>《中国人民银行关于完善票据业务制度有关问题的通知》</w:t>
          </w:r>
          <w:r>
            <w:tab/>
          </w:r>
          <w:r>
            <w:fldChar w:fldCharType="begin"/>
          </w:r>
          <w:r>
            <w:instrText xml:space="preserve"> PAGEREF _Toc18876 \h </w:instrText>
          </w:r>
          <w:r>
            <w:fldChar w:fldCharType="separate"/>
          </w:r>
          <w:r>
            <w:t>243</w:t>
          </w:r>
          <w:r>
            <w:fldChar w:fldCharType="end"/>
          </w:r>
          <w:r>
            <w:fldChar w:fldCharType="end"/>
          </w:r>
        </w:p>
        <w:p>
          <w:pPr>
            <w:pStyle w:val="11"/>
            <w:tabs>
              <w:tab w:val="right" w:leader="dot" w:pos="8306"/>
            </w:tabs>
          </w:pPr>
          <w:r>
            <w:fldChar w:fldCharType="begin"/>
          </w:r>
          <w:r>
            <w:instrText xml:space="preserve"> HYPERLINK \l _Toc14427 </w:instrText>
          </w:r>
          <w:r>
            <w:fldChar w:fldCharType="separate"/>
          </w:r>
          <w:r>
            <w:rPr>
              <w:rFonts w:cs="宋体" w:asciiTheme="majorEastAsia" w:hAnsiTheme="majorEastAsia" w:eastAsiaTheme="majorEastAsia"/>
              <w:bCs/>
              <w:szCs w:val="24"/>
              <w:lang w:val="en-US" w:eastAsia="zh-CN" w:bidi="ar-SA"/>
            </w:rPr>
            <w:t>27.</w:t>
          </w:r>
          <w:r>
            <w:rPr>
              <w:rFonts w:hint="eastAsia"/>
            </w:rPr>
            <w:t>《中国银行业监督管理委员会关于继续深入贯彻落实国家宏观调控措施切实加强信贷管理的通知》</w:t>
          </w:r>
          <w:r>
            <w:tab/>
          </w:r>
          <w:r>
            <w:fldChar w:fldCharType="begin"/>
          </w:r>
          <w:r>
            <w:instrText xml:space="preserve"> PAGEREF _Toc14427 \h </w:instrText>
          </w:r>
          <w:r>
            <w:fldChar w:fldCharType="separate"/>
          </w:r>
          <w:r>
            <w:t>247</w:t>
          </w:r>
          <w:r>
            <w:fldChar w:fldCharType="end"/>
          </w:r>
          <w:r>
            <w:fldChar w:fldCharType="end"/>
          </w:r>
        </w:p>
        <w:p>
          <w:pPr>
            <w:pStyle w:val="11"/>
            <w:tabs>
              <w:tab w:val="right" w:leader="dot" w:pos="8306"/>
            </w:tabs>
          </w:pPr>
          <w:r>
            <w:fldChar w:fldCharType="begin"/>
          </w:r>
          <w:r>
            <w:instrText xml:space="preserve"> HYPERLINK \l _Toc25898 </w:instrText>
          </w:r>
          <w:r>
            <w:fldChar w:fldCharType="separate"/>
          </w:r>
          <w:r>
            <w:rPr>
              <w:rFonts w:cs="宋体" w:asciiTheme="majorEastAsia" w:hAnsiTheme="majorEastAsia" w:eastAsiaTheme="majorEastAsia"/>
              <w:bCs/>
              <w:szCs w:val="24"/>
              <w:lang w:val="en-US" w:eastAsia="zh-CN" w:bidi="ar-SA"/>
            </w:rPr>
            <w:t>28.</w:t>
          </w:r>
          <w:r>
            <w:rPr>
              <w:rFonts w:hint="eastAsia"/>
            </w:rPr>
            <w:t>《商业银行小企业授信工作尽职指引(试行)》</w:t>
          </w:r>
          <w:r>
            <w:tab/>
          </w:r>
          <w:r>
            <w:fldChar w:fldCharType="begin"/>
          </w:r>
          <w:r>
            <w:instrText xml:space="preserve"> PAGEREF _Toc25898 \h </w:instrText>
          </w:r>
          <w:r>
            <w:fldChar w:fldCharType="separate"/>
          </w:r>
          <w:r>
            <w:t>250</w:t>
          </w:r>
          <w:r>
            <w:fldChar w:fldCharType="end"/>
          </w:r>
          <w:r>
            <w:fldChar w:fldCharType="end"/>
          </w:r>
        </w:p>
        <w:p>
          <w:pPr>
            <w:pStyle w:val="11"/>
            <w:tabs>
              <w:tab w:val="right" w:leader="dot" w:pos="8306"/>
            </w:tabs>
          </w:pPr>
          <w:r>
            <w:fldChar w:fldCharType="begin"/>
          </w:r>
          <w:r>
            <w:instrText xml:space="preserve"> HYPERLINK \l _Toc8043 </w:instrText>
          </w:r>
          <w:r>
            <w:fldChar w:fldCharType="separate"/>
          </w:r>
          <w:r>
            <w:rPr>
              <w:rFonts w:hint="eastAsia" w:cs="宋体" w:asciiTheme="majorEastAsia" w:hAnsiTheme="majorEastAsia" w:eastAsiaTheme="majorEastAsia"/>
            </w:rPr>
            <w:t>发文机构：中国银行业监督管理委员会(已撤销)</w:t>
          </w:r>
          <w:r>
            <w:tab/>
          </w:r>
          <w:r>
            <w:fldChar w:fldCharType="begin"/>
          </w:r>
          <w:r>
            <w:instrText xml:space="preserve"> PAGEREF _Toc8043 \h </w:instrText>
          </w:r>
          <w:r>
            <w:fldChar w:fldCharType="separate"/>
          </w:r>
          <w:r>
            <w:t>250</w:t>
          </w:r>
          <w:r>
            <w:fldChar w:fldCharType="end"/>
          </w:r>
          <w:r>
            <w:fldChar w:fldCharType="end"/>
          </w:r>
        </w:p>
        <w:p>
          <w:pPr>
            <w:pStyle w:val="11"/>
            <w:tabs>
              <w:tab w:val="right" w:leader="dot" w:pos="8306"/>
            </w:tabs>
          </w:pPr>
          <w:r>
            <w:fldChar w:fldCharType="begin"/>
          </w:r>
          <w:r>
            <w:instrText xml:space="preserve"> HYPERLINK \l _Toc28299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_Toc28299 \h </w:instrText>
          </w:r>
          <w:r>
            <w:fldChar w:fldCharType="separate"/>
          </w:r>
          <w:r>
            <w:t>250</w:t>
          </w:r>
          <w:r>
            <w:fldChar w:fldCharType="end"/>
          </w:r>
          <w:r>
            <w:fldChar w:fldCharType="end"/>
          </w:r>
        </w:p>
        <w:p>
          <w:pPr>
            <w:pStyle w:val="11"/>
            <w:tabs>
              <w:tab w:val="right" w:leader="dot" w:pos="8306"/>
            </w:tabs>
          </w:pPr>
          <w:r>
            <w:fldChar w:fldCharType="begin"/>
          </w:r>
          <w:r>
            <w:instrText xml:space="preserve"> HYPERLINK \l _Toc1971 </w:instrText>
          </w:r>
          <w:r>
            <w:fldChar w:fldCharType="separate"/>
          </w:r>
          <w:r>
            <w:rPr>
              <w:rFonts w:hint="eastAsia" w:cs="宋体" w:asciiTheme="majorEastAsia" w:hAnsiTheme="majorEastAsia" w:eastAsiaTheme="majorEastAsia"/>
              <w:bCs/>
            </w:rPr>
            <w:t>第二章授信调查尽职要求</w:t>
          </w:r>
          <w:r>
            <w:tab/>
          </w:r>
          <w:r>
            <w:fldChar w:fldCharType="begin"/>
          </w:r>
          <w:r>
            <w:instrText xml:space="preserve"> PAGEREF _Toc1971 \h </w:instrText>
          </w:r>
          <w:r>
            <w:fldChar w:fldCharType="separate"/>
          </w:r>
          <w:r>
            <w:t>251</w:t>
          </w:r>
          <w:r>
            <w:fldChar w:fldCharType="end"/>
          </w:r>
          <w:r>
            <w:fldChar w:fldCharType="end"/>
          </w:r>
        </w:p>
        <w:p>
          <w:pPr>
            <w:pStyle w:val="11"/>
            <w:tabs>
              <w:tab w:val="right" w:leader="dot" w:pos="8306"/>
            </w:tabs>
          </w:pPr>
          <w:r>
            <w:fldChar w:fldCharType="begin"/>
          </w:r>
          <w:r>
            <w:instrText xml:space="preserve"> HYPERLINK \l _Toc26640 </w:instrText>
          </w:r>
          <w:r>
            <w:fldChar w:fldCharType="separate"/>
          </w:r>
          <w:r>
            <w:rPr>
              <w:rFonts w:hint="eastAsia" w:cs="宋体" w:asciiTheme="majorEastAsia" w:hAnsiTheme="majorEastAsia" w:eastAsiaTheme="majorEastAsia"/>
              <w:bCs/>
            </w:rPr>
            <w:t>第三章授信审查尽职要求</w:t>
          </w:r>
          <w:r>
            <w:tab/>
          </w:r>
          <w:r>
            <w:fldChar w:fldCharType="begin"/>
          </w:r>
          <w:r>
            <w:instrText xml:space="preserve"> PAGEREF _Toc26640 \h </w:instrText>
          </w:r>
          <w:r>
            <w:fldChar w:fldCharType="separate"/>
          </w:r>
          <w:r>
            <w:t>253</w:t>
          </w:r>
          <w:r>
            <w:fldChar w:fldCharType="end"/>
          </w:r>
          <w:r>
            <w:fldChar w:fldCharType="end"/>
          </w:r>
        </w:p>
        <w:p>
          <w:pPr>
            <w:pStyle w:val="11"/>
            <w:tabs>
              <w:tab w:val="right" w:leader="dot" w:pos="8306"/>
            </w:tabs>
          </w:pPr>
          <w:r>
            <w:fldChar w:fldCharType="begin"/>
          </w:r>
          <w:r>
            <w:instrText xml:space="preserve"> HYPERLINK \l _Toc17706 </w:instrText>
          </w:r>
          <w:r>
            <w:fldChar w:fldCharType="separate"/>
          </w:r>
          <w:r>
            <w:rPr>
              <w:rFonts w:hint="eastAsia" w:cs="宋体" w:asciiTheme="majorEastAsia" w:hAnsiTheme="majorEastAsia" w:eastAsiaTheme="majorEastAsia"/>
              <w:bCs/>
            </w:rPr>
            <w:t>第四章授信审批尽职要求</w:t>
          </w:r>
          <w:r>
            <w:tab/>
          </w:r>
          <w:r>
            <w:fldChar w:fldCharType="begin"/>
          </w:r>
          <w:r>
            <w:instrText xml:space="preserve"> PAGEREF _Toc17706 \h </w:instrText>
          </w:r>
          <w:r>
            <w:fldChar w:fldCharType="separate"/>
          </w:r>
          <w:r>
            <w:t>254</w:t>
          </w:r>
          <w:r>
            <w:fldChar w:fldCharType="end"/>
          </w:r>
          <w:r>
            <w:fldChar w:fldCharType="end"/>
          </w:r>
        </w:p>
        <w:p>
          <w:pPr>
            <w:pStyle w:val="11"/>
            <w:tabs>
              <w:tab w:val="right" w:leader="dot" w:pos="8306"/>
            </w:tabs>
          </w:pPr>
          <w:r>
            <w:fldChar w:fldCharType="begin"/>
          </w:r>
          <w:r>
            <w:instrText xml:space="preserve"> HYPERLINK \l _Toc28216 </w:instrText>
          </w:r>
          <w:r>
            <w:fldChar w:fldCharType="separate"/>
          </w:r>
          <w:r>
            <w:rPr>
              <w:rFonts w:hint="eastAsia" w:cs="宋体" w:asciiTheme="majorEastAsia" w:hAnsiTheme="majorEastAsia" w:eastAsiaTheme="majorEastAsia"/>
              <w:bCs/>
            </w:rPr>
            <w:t>第五章授信后管理尽职要求</w:t>
          </w:r>
          <w:r>
            <w:tab/>
          </w:r>
          <w:r>
            <w:fldChar w:fldCharType="begin"/>
          </w:r>
          <w:r>
            <w:instrText xml:space="preserve"> PAGEREF _Toc28216 \h </w:instrText>
          </w:r>
          <w:r>
            <w:fldChar w:fldCharType="separate"/>
          </w:r>
          <w:r>
            <w:t>254</w:t>
          </w:r>
          <w:r>
            <w:fldChar w:fldCharType="end"/>
          </w:r>
          <w:r>
            <w:fldChar w:fldCharType="end"/>
          </w:r>
        </w:p>
        <w:p>
          <w:pPr>
            <w:pStyle w:val="11"/>
            <w:tabs>
              <w:tab w:val="right" w:leader="dot" w:pos="8306"/>
            </w:tabs>
          </w:pPr>
          <w:r>
            <w:fldChar w:fldCharType="begin"/>
          </w:r>
          <w:r>
            <w:instrText xml:space="preserve"> HYPERLINK \l _Toc16688 </w:instrText>
          </w:r>
          <w:r>
            <w:fldChar w:fldCharType="separate"/>
          </w:r>
          <w:r>
            <w:rPr>
              <w:rFonts w:hint="eastAsia" w:cs="宋体" w:asciiTheme="majorEastAsia" w:hAnsiTheme="majorEastAsia" w:eastAsiaTheme="majorEastAsia"/>
              <w:bCs/>
            </w:rPr>
            <w:t>第六章授信工作尽职评价要求</w:t>
          </w:r>
          <w:r>
            <w:tab/>
          </w:r>
          <w:r>
            <w:fldChar w:fldCharType="begin"/>
          </w:r>
          <w:r>
            <w:instrText xml:space="preserve"> PAGEREF _Toc16688 \h </w:instrText>
          </w:r>
          <w:r>
            <w:fldChar w:fldCharType="separate"/>
          </w:r>
          <w:r>
            <w:t>255</w:t>
          </w:r>
          <w:r>
            <w:fldChar w:fldCharType="end"/>
          </w:r>
          <w:r>
            <w:fldChar w:fldCharType="end"/>
          </w:r>
        </w:p>
        <w:p>
          <w:pPr>
            <w:pStyle w:val="11"/>
            <w:tabs>
              <w:tab w:val="right" w:leader="dot" w:pos="8306"/>
            </w:tabs>
          </w:pPr>
          <w:r>
            <w:fldChar w:fldCharType="begin"/>
          </w:r>
          <w:r>
            <w:instrText xml:space="preserve"> HYPERLINK \l _Toc28755 </w:instrText>
          </w:r>
          <w:r>
            <w:fldChar w:fldCharType="separate"/>
          </w:r>
          <w:r>
            <w:rPr>
              <w:rFonts w:hint="eastAsia" w:cs="宋体" w:asciiTheme="majorEastAsia" w:hAnsiTheme="majorEastAsia" w:eastAsiaTheme="majorEastAsia"/>
              <w:bCs/>
            </w:rPr>
            <w:t>第七章附则</w:t>
          </w:r>
          <w:r>
            <w:tab/>
          </w:r>
          <w:r>
            <w:fldChar w:fldCharType="begin"/>
          </w:r>
          <w:r>
            <w:instrText xml:space="preserve"> PAGEREF _Toc28755 \h </w:instrText>
          </w:r>
          <w:r>
            <w:fldChar w:fldCharType="separate"/>
          </w:r>
          <w:r>
            <w:t>256</w:t>
          </w:r>
          <w:r>
            <w:fldChar w:fldCharType="end"/>
          </w:r>
          <w:r>
            <w:fldChar w:fldCharType="end"/>
          </w:r>
        </w:p>
        <w:p>
          <w:pPr>
            <w:pStyle w:val="11"/>
            <w:tabs>
              <w:tab w:val="right" w:leader="dot" w:pos="8306"/>
            </w:tabs>
          </w:pPr>
          <w:r>
            <w:fldChar w:fldCharType="begin"/>
          </w:r>
          <w:r>
            <w:instrText xml:space="preserve"> HYPERLINK \l _Toc29562 </w:instrText>
          </w:r>
          <w:r>
            <w:fldChar w:fldCharType="separate"/>
          </w:r>
          <w:r>
            <w:rPr>
              <w:rFonts w:cs="宋体" w:asciiTheme="majorEastAsia" w:hAnsiTheme="majorEastAsia" w:eastAsiaTheme="majorEastAsia"/>
              <w:bCs/>
              <w:szCs w:val="24"/>
              <w:lang w:val="en-US" w:eastAsia="zh-CN" w:bidi="ar-SA"/>
            </w:rPr>
            <w:t>29.</w:t>
          </w:r>
          <w:r>
            <w:rPr>
              <w:rFonts w:hint="eastAsia"/>
            </w:rPr>
            <w:t>《商业银行金融创新指引》</w:t>
          </w:r>
          <w:r>
            <w:tab/>
          </w:r>
          <w:r>
            <w:fldChar w:fldCharType="begin"/>
          </w:r>
          <w:r>
            <w:instrText xml:space="preserve"> PAGEREF _Toc29562 \h </w:instrText>
          </w:r>
          <w:r>
            <w:fldChar w:fldCharType="separate"/>
          </w:r>
          <w:r>
            <w:t>263</w:t>
          </w:r>
          <w:r>
            <w:fldChar w:fldCharType="end"/>
          </w:r>
          <w:r>
            <w:fldChar w:fldCharType="end"/>
          </w:r>
        </w:p>
        <w:p>
          <w:pPr>
            <w:pStyle w:val="11"/>
            <w:tabs>
              <w:tab w:val="right" w:leader="dot" w:pos="8306"/>
            </w:tabs>
          </w:pPr>
          <w:r>
            <w:fldChar w:fldCharType="begin"/>
          </w:r>
          <w:r>
            <w:instrText xml:space="preserve"> HYPERLINK \l _Toc24130 </w:instrText>
          </w:r>
          <w:r>
            <w:fldChar w:fldCharType="separate"/>
          </w:r>
          <w:r>
            <w:rPr>
              <w:rFonts w:hint="eastAsia" w:cs="宋体" w:asciiTheme="majorEastAsia" w:hAnsiTheme="majorEastAsia" w:eastAsiaTheme="majorEastAsia"/>
            </w:rPr>
            <w:t>发文机构：中国银行业监督管理委员会(已撤销)</w:t>
          </w:r>
          <w:r>
            <w:tab/>
          </w:r>
          <w:r>
            <w:fldChar w:fldCharType="begin"/>
          </w:r>
          <w:r>
            <w:instrText xml:space="preserve"> PAGEREF _Toc24130 \h </w:instrText>
          </w:r>
          <w:r>
            <w:fldChar w:fldCharType="separate"/>
          </w:r>
          <w:r>
            <w:t>263</w:t>
          </w:r>
          <w:r>
            <w:fldChar w:fldCharType="end"/>
          </w:r>
          <w:r>
            <w:fldChar w:fldCharType="end"/>
          </w:r>
        </w:p>
        <w:p>
          <w:pPr>
            <w:pStyle w:val="11"/>
            <w:tabs>
              <w:tab w:val="right" w:leader="dot" w:pos="8306"/>
            </w:tabs>
          </w:pPr>
          <w:r>
            <w:fldChar w:fldCharType="begin"/>
          </w:r>
          <w:r>
            <w:instrText xml:space="preserve"> HYPERLINK \l _Toc3938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_Toc3938 \h </w:instrText>
          </w:r>
          <w:r>
            <w:fldChar w:fldCharType="separate"/>
          </w:r>
          <w:r>
            <w:t>263</w:t>
          </w:r>
          <w:r>
            <w:fldChar w:fldCharType="end"/>
          </w:r>
          <w:r>
            <w:fldChar w:fldCharType="end"/>
          </w:r>
        </w:p>
        <w:p>
          <w:pPr>
            <w:pStyle w:val="11"/>
            <w:tabs>
              <w:tab w:val="right" w:leader="dot" w:pos="8306"/>
            </w:tabs>
          </w:pPr>
          <w:r>
            <w:fldChar w:fldCharType="begin"/>
          </w:r>
          <w:r>
            <w:instrText xml:space="preserve"> HYPERLINK \l _Toc32012 </w:instrText>
          </w:r>
          <w:r>
            <w:fldChar w:fldCharType="separate"/>
          </w:r>
          <w:r>
            <w:rPr>
              <w:rFonts w:hint="eastAsia" w:cs="宋体" w:asciiTheme="majorEastAsia" w:hAnsiTheme="majorEastAsia" w:eastAsiaTheme="majorEastAsia"/>
              <w:bCs/>
            </w:rPr>
            <w:t>第二章基本原则</w:t>
          </w:r>
          <w:r>
            <w:tab/>
          </w:r>
          <w:r>
            <w:fldChar w:fldCharType="begin"/>
          </w:r>
          <w:r>
            <w:instrText xml:space="preserve"> PAGEREF _Toc32012 \h </w:instrText>
          </w:r>
          <w:r>
            <w:fldChar w:fldCharType="separate"/>
          </w:r>
          <w:r>
            <w:t>264</w:t>
          </w:r>
          <w:r>
            <w:fldChar w:fldCharType="end"/>
          </w:r>
          <w:r>
            <w:fldChar w:fldCharType="end"/>
          </w:r>
        </w:p>
        <w:p>
          <w:pPr>
            <w:pStyle w:val="11"/>
            <w:tabs>
              <w:tab w:val="right" w:leader="dot" w:pos="8306"/>
            </w:tabs>
          </w:pPr>
          <w:r>
            <w:fldChar w:fldCharType="begin"/>
          </w:r>
          <w:r>
            <w:instrText xml:space="preserve"> HYPERLINK \l _Toc28825 </w:instrText>
          </w:r>
          <w:r>
            <w:fldChar w:fldCharType="separate"/>
          </w:r>
          <w:r>
            <w:rPr>
              <w:rFonts w:hint="eastAsia" w:cs="宋体" w:asciiTheme="majorEastAsia" w:hAnsiTheme="majorEastAsia" w:eastAsiaTheme="majorEastAsia"/>
              <w:bCs/>
            </w:rPr>
            <w:t>第三章运行机制</w:t>
          </w:r>
          <w:r>
            <w:tab/>
          </w:r>
          <w:r>
            <w:fldChar w:fldCharType="begin"/>
          </w:r>
          <w:r>
            <w:instrText xml:space="preserve"> PAGEREF _Toc28825 \h </w:instrText>
          </w:r>
          <w:r>
            <w:fldChar w:fldCharType="separate"/>
          </w:r>
          <w:r>
            <w:t>265</w:t>
          </w:r>
          <w:r>
            <w:fldChar w:fldCharType="end"/>
          </w:r>
          <w:r>
            <w:fldChar w:fldCharType="end"/>
          </w:r>
        </w:p>
        <w:p>
          <w:pPr>
            <w:pStyle w:val="11"/>
            <w:tabs>
              <w:tab w:val="right" w:leader="dot" w:pos="8306"/>
            </w:tabs>
          </w:pPr>
          <w:r>
            <w:fldChar w:fldCharType="begin"/>
          </w:r>
          <w:r>
            <w:instrText xml:space="preserve"> HYPERLINK \l _Toc24897 </w:instrText>
          </w:r>
          <w:r>
            <w:fldChar w:fldCharType="separate"/>
          </w:r>
          <w:r>
            <w:rPr>
              <w:rFonts w:hint="eastAsia" w:cs="宋体" w:asciiTheme="majorEastAsia" w:hAnsiTheme="majorEastAsia" w:eastAsiaTheme="majorEastAsia"/>
              <w:bCs/>
            </w:rPr>
            <w:t>第四章客户利益保护</w:t>
          </w:r>
          <w:r>
            <w:tab/>
          </w:r>
          <w:r>
            <w:fldChar w:fldCharType="begin"/>
          </w:r>
          <w:r>
            <w:instrText xml:space="preserve"> PAGEREF _Toc24897 \h </w:instrText>
          </w:r>
          <w:r>
            <w:fldChar w:fldCharType="separate"/>
          </w:r>
          <w:r>
            <w:t>266</w:t>
          </w:r>
          <w:r>
            <w:fldChar w:fldCharType="end"/>
          </w:r>
          <w:r>
            <w:fldChar w:fldCharType="end"/>
          </w:r>
        </w:p>
        <w:p>
          <w:pPr>
            <w:pStyle w:val="11"/>
            <w:tabs>
              <w:tab w:val="right" w:leader="dot" w:pos="8306"/>
            </w:tabs>
          </w:pPr>
          <w:r>
            <w:fldChar w:fldCharType="begin"/>
          </w:r>
          <w:r>
            <w:instrText xml:space="preserve"> HYPERLINK \l _Toc27280 </w:instrText>
          </w:r>
          <w:r>
            <w:fldChar w:fldCharType="separate"/>
          </w:r>
          <w:r>
            <w:rPr>
              <w:rFonts w:hint="eastAsia" w:cs="宋体" w:asciiTheme="majorEastAsia" w:hAnsiTheme="majorEastAsia" w:eastAsiaTheme="majorEastAsia"/>
              <w:bCs/>
            </w:rPr>
            <w:t>第五章风险管理</w:t>
          </w:r>
          <w:r>
            <w:tab/>
          </w:r>
          <w:r>
            <w:fldChar w:fldCharType="begin"/>
          </w:r>
          <w:r>
            <w:instrText xml:space="preserve"> PAGEREF _Toc27280 \h </w:instrText>
          </w:r>
          <w:r>
            <w:fldChar w:fldCharType="separate"/>
          </w:r>
          <w:r>
            <w:t>267</w:t>
          </w:r>
          <w:r>
            <w:fldChar w:fldCharType="end"/>
          </w:r>
          <w:r>
            <w:fldChar w:fldCharType="end"/>
          </w:r>
        </w:p>
        <w:p>
          <w:pPr>
            <w:pStyle w:val="11"/>
            <w:tabs>
              <w:tab w:val="right" w:leader="dot" w:pos="8306"/>
            </w:tabs>
          </w:pPr>
          <w:r>
            <w:fldChar w:fldCharType="begin"/>
          </w:r>
          <w:r>
            <w:instrText xml:space="preserve"> HYPERLINK \l _Toc17725 </w:instrText>
          </w:r>
          <w:r>
            <w:fldChar w:fldCharType="separate"/>
          </w:r>
          <w:r>
            <w:rPr>
              <w:rFonts w:hint="eastAsia" w:cs="宋体" w:asciiTheme="majorEastAsia" w:hAnsiTheme="majorEastAsia" w:eastAsiaTheme="majorEastAsia"/>
              <w:bCs/>
            </w:rPr>
            <w:t>第六章监督管理</w:t>
          </w:r>
          <w:r>
            <w:tab/>
          </w:r>
          <w:r>
            <w:fldChar w:fldCharType="begin"/>
          </w:r>
          <w:r>
            <w:instrText xml:space="preserve"> PAGEREF _Toc17725 \h </w:instrText>
          </w:r>
          <w:r>
            <w:fldChar w:fldCharType="separate"/>
          </w:r>
          <w:r>
            <w:t>268</w:t>
          </w:r>
          <w:r>
            <w:fldChar w:fldCharType="end"/>
          </w:r>
          <w:r>
            <w:fldChar w:fldCharType="end"/>
          </w:r>
        </w:p>
        <w:p>
          <w:pPr>
            <w:pStyle w:val="11"/>
            <w:tabs>
              <w:tab w:val="right" w:leader="dot" w:pos="8306"/>
            </w:tabs>
          </w:pPr>
          <w:r>
            <w:fldChar w:fldCharType="begin"/>
          </w:r>
          <w:r>
            <w:instrText xml:space="preserve"> HYPERLINK \l _Toc30745 </w:instrText>
          </w:r>
          <w:r>
            <w:fldChar w:fldCharType="separate"/>
          </w:r>
          <w:r>
            <w:rPr>
              <w:rFonts w:hint="eastAsia" w:cs="宋体" w:asciiTheme="majorEastAsia" w:hAnsiTheme="majorEastAsia" w:eastAsiaTheme="majorEastAsia"/>
              <w:bCs/>
            </w:rPr>
            <w:t>第七章附则</w:t>
          </w:r>
          <w:r>
            <w:tab/>
          </w:r>
          <w:r>
            <w:fldChar w:fldCharType="begin"/>
          </w:r>
          <w:r>
            <w:instrText xml:space="preserve"> PAGEREF _Toc30745 \h </w:instrText>
          </w:r>
          <w:r>
            <w:fldChar w:fldCharType="separate"/>
          </w:r>
          <w:r>
            <w:t>269</w:t>
          </w:r>
          <w:r>
            <w:fldChar w:fldCharType="end"/>
          </w:r>
          <w:r>
            <w:fldChar w:fldCharType="end"/>
          </w:r>
        </w:p>
        <w:p>
          <w:pPr>
            <w:pStyle w:val="11"/>
            <w:tabs>
              <w:tab w:val="right" w:leader="dot" w:pos="8306"/>
            </w:tabs>
          </w:pPr>
          <w:r>
            <w:fldChar w:fldCharType="begin"/>
          </w:r>
          <w:r>
            <w:instrText xml:space="preserve"> HYPERLINK \l _Toc25292 </w:instrText>
          </w:r>
          <w:r>
            <w:fldChar w:fldCharType="separate"/>
          </w:r>
          <w:r>
            <w:rPr>
              <w:rFonts w:cs="宋体" w:asciiTheme="majorEastAsia" w:hAnsiTheme="majorEastAsia" w:eastAsiaTheme="majorEastAsia"/>
              <w:bCs/>
              <w:szCs w:val="24"/>
              <w:lang w:val="en-US" w:eastAsia="zh-CN" w:bidi="ar-SA"/>
            </w:rPr>
            <w:t>30.</w:t>
          </w:r>
          <w:r>
            <w:rPr>
              <w:rFonts w:hint="eastAsia"/>
            </w:rPr>
            <w:t>《中国银监会办公厅关于防范和控制高耗能高污染行业贷款风险的通知》</w:t>
          </w:r>
          <w:r>
            <w:tab/>
          </w:r>
          <w:r>
            <w:fldChar w:fldCharType="begin"/>
          </w:r>
          <w:r>
            <w:instrText xml:space="preserve"> PAGEREF _Toc25292 \h </w:instrText>
          </w:r>
          <w:r>
            <w:fldChar w:fldCharType="separate"/>
          </w:r>
          <w:r>
            <w:t>270</w:t>
          </w:r>
          <w:r>
            <w:fldChar w:fldCharType="end"/>
          </w:r>
          <w:r>
            <w:fldChar w:fldCharType="end"/>
          </w:r>
        </w:p>
        <w:p>
          <w:pPr>
            <w:pStyle w:val="11"/>
            <w:tabs>
              <w:tab w:val="right" w:leader="dot" w:pos="8306"/>
            </w:tabs>
          </w:pPr>
          <w:r>
            <w:fldChar w:fldCharType="begin"/>
          </w:r>
          <w:r>
            <w:instrText xml:space="preserve"> HYPERLINK \l _Toc29960 </w:instrText>
          </w:r>
          <w:r>
            <w:fldChar w:fldCharType="separate"/>
          </w:r>
          <w:r>
            <w:rPr>
              <w:rFonts w:cs="宋体" w:asciiTheme="majorEastAsia" w:hAnsiTheme="majorEastAsia" w:eastAsiaTheme="majorEastAsia"/>
              <w:bCs/>
              <w:szCs w:val="24"/>
              <w:lang w:val="en-US" w:eastAsia="zh-CN" w:bidi="ar-SA"/>
            </w:rPr>
            <w:t>31.</w:t>
          </w:r>
          <w:r>
            <w:rPr>
              <w:rFonts w:hint="eastAsia"/>
            </w:rPr>
            <w:t>《中国银监会办公厅关于进一步规范企业集团财务公司委托业务的通知》</w:t>
          </w:r>
          <w:r>
            <w:tab/>
          </w:r>
          <w:r>
            <w:fldChar w:fldCharType="begin"/>
          </w:r>
          <w:r>
            <w:instrText xml:space="preserve"> PAGEREF _Toc29960 \h </w:instrText>
          </w:r>
          <w:r>
            <w:fldChar w:fldCharType="separate"/>
          </w:r>
          <w:r>
            <w:t>273</w:t>
          </w:r>
          <w:r>
            <w:fldChar w:fldCharType="end"/>
          </w:r>
          <w:r>
            <w:fldChar w:fldCharType="end"/>
          </w:r>
        </w:p>
        <w:p>
          <w:pPr>
            <w:pStyle w:val="11"/>
            <w:tabs>
              <w:tab w:val="right" w:leader="dot" w:pos="8306"/>
            </w:tabs>
          </w:pPr>
          <w:r>
            <w:fldChar w:fldCharType="begin"/>
          </w:r>
          <w:r>
            <w:instrText xml:space="preserve"> HYPERLINK \l _Toc29385 </w:instrText>
          </w:r>
          <w:r>
            <w:fldChar w:fldCharType="separate"/>
          </w:r>
          <w:r>
            <w:rPr>
              <w:rFonts w:cs="宋体" w:asciiTheme="majorEastAsia" w:hAnsiTheme="majorEastAsia" w:eastAsiaTheme="majorEastAsia"/>
              <w:bCs/>
              <w:szCs w:val="24"/>
              <w:lang w:val="en-US" w:eastAsia="zh-CN" w:bidi="ar-SA"/>
            </w:rPr>
            <w:t>32.</w:t>
          </w:r>
          <w:r>
            <w:rPr>
              <w:rFonts w:hint="eastAsia"/>
            </w:rPr>
            <w:t>《节能减排授信工作指导意见》</w:t>
          </w:r>
          <w:r>
            <w:tab/>
          </w:r>
          <w:r>
            <w:fldChar w:fldCharType="begin"/>
          </w:r>
          <w:r>
            <w:instrText xml:space="preserve"> PAGEREF _Toc29385 \h </w:instrText>
          </w:r>
          <w:r>
            <w:fldChar w:fldCharType="separate"/>
          </w:r>
          <w:r>
            <w:t>275</w:t>
          </w:r>
          <w:r>
            <w:fldChar w:fldCharType="end"/>
          </w:r>
          <w:r>
            <w:fldChar w:fldCharType="end"/>
          </w:r>
        </w:p>
        <w:p>
          <w:pPr>
            <w:pStyle w:val="11"/>
            <w:tabs>
              <w:tab w:val="right" w:leader="dot" w:pos="8306"/>
            </w:tabs>
          </w:pPr>
          <w:r>
            <w:fldChar w:fldCharType="begin"/>
          </w:r>
          <w:r>
            <w:instrText xml:space="preserve"> HYPERLINK \l _Toc6617 </w:instrText>
          </w:r>
          <w:r>
            <w:fldChar w:fldCharType="separate"/>
          </w:r>
          <w:r>
            <w:rPr>
              <w:rFonts w:hint="eastAsia" w:cs="宋体" w:asciiTheme="majorEastAsia" w:hAnsiTheme="majorEastAsia" w:eastAsiaTheme="majorEastAsia"/>
            </w:rPr>
            <w:t>发文机构：中国银行业监督管理委员会（已撤销）</w:t>
          </w:r>
          <w:r>
            <w:tab/>
          </w:r>
          <w:r>
            <w:fldChar w:fldCharType="begin"/>
          </w:r>
          <w:r>
            <w:instrText xml:space="preserve"> PAGEREF _Toc6617 \h </w:instrText>
          </w:r>
          <w:r>
            <w:fldChar w:fldCharType="separate"/>
          </w:r>
          <w:r>
            <w:t>275</w:t>
          </w:r>
          <w:r>
            <w:fldChar w:fldCharType="end"/>
          </w:r>
          <w:r>
            <w:fldChar w:fldCharType="end"/>
          </w:r>
        </w:p>
        <w:p>
          <w:pPr>
            <w:pStyle w:val="11"/>
            <w:tabs>
              <w:tab w:val="right" w:leader="dot" w:pos="8306"/>
            </w:tabs>
          </w:pPr>
          <w:r>
            <w:fldChar w:fldCharType="begin"/>
          </w:r>
          <w:r>
            <w:instrText xml:space="preserve"> HYPERLINK \l _Toc19099 </w:instrText>
          </w:r>
          <w:r>
            <w:fldChar w:fldCharType="separate"/>
          </w:r>
          <w:r>
            <w:rPr>
              <w:rFonts w:hint="eastAsia" w:cs="宋体" w:asciiTheme="majorEastAsia" w:hAnsiTheme="majorEastAsia" w:eastAsiaTheme="majorEastAsia"/>
              <w:bCs/>
            </w:rPr>
            <w:t>第一章总体要求</w:t>
          </w:r>
          <w:r>
            <w:tab/>
          </w:r>
          <w:r>
            <w:fldChar w:fldCharType="begin"/>
          </w:r>
          <w:r>
            <w:instrText xml:space="preserve"> PAGEREF _Toc19099 \h </w:instrText>
          </w:r>
          <w:r>
            <w:fldChar w:fldCharType="separate"/>
          </w:r>
          <w:r>
            <w:t>275</w:t>
          </w:r>
          <w:r>
            <w:fldChar w:fldCharType="end"/>
          </w:r>
          <w:r>
            <w:fldChar w:fldCharType="end"/>
          </w:r>
        </w:p>
        <w:p>
          <w:pPr>
            <w:pStyle w:val="11"/>
            <w:tabs>
              <w:tab w:val="right" w:leader="dot" w:pos="8306"/>
            </w:tabs>
          </w:pPr>
          <w:r>
            <w:fldChar w:fldCharType="begin"/>
          </w:r>
          <w:r>
            <w:instrText xml:space="preserve"> HYPERLINK \l _Toc29107 </w:instrText>
          </w:r>
          <w:r>
            <w:fldChar w:fldCharType="separate"/>
          </w:r>
          <w:r>
            <w:rPr>
              <w:rFonts w:hint="eastAsia" w:cs="宋体" w:asciiTheme="majorEastAsia" w:hAnsiTheme="majorEastAsia" w:eastAsiaTheme="majorEastAsia"/>
              <w:bCs/>
            </w:rPr>
            <w:t>第二章授信政策</w:t>
          </w:r>
          <w:r>
            <w:tab/>
          </w:r>
          <w:r>
            <w:fldChar w:fldCharType="begin"/>
          </w:r>
          <w:r>
            <w:instrText xml:space="preserve"> PAGEREF _Toc29107 \h </w:instrText>
          </w:r>
          <w:r>
            <w:fldChar w:fldCharType="separate"/>
          </w:r>
          <w:r>
            <w:t>275</w:t>
          </w:r>
          <w:r>
            <w:fldChar w:fldCharType="end"/>
          </w:r>
          <w:r>
            <w:fldChar w:fldCharType="end"/>
          </w:r>
        </w:p>
        <w:p>
          <w:pPr>
            <w:pStyle w:val="11"/>
            <w:tabs>
              <w:tab w:val="right" w:leader="dot" w:pos="8306"/>
            </w:tabs>
          </w:pPr>
          <w:r>
            <w:fldChar w:fldCharType="begin"/>
          </w:r>
          <w:r>
            <w:instrText xml:space="preserve"> HYPERLINK \l _Toc3780 </w:instrText>
          </w:r>
          <w:r>
            <w:fldChar w:fldCharType="separate"/>
          </w:r>
          <w:r>
            <w:rPr>
              <w:rFonts w:hint="eastAsia" w:cs="宋体" w:asciiTheme="majorEastAsia" w:hAnsiTheme="majorEastAsia" w:eastAsiaTheme="majorEastAsia"/>
              <w:bCs/>
            </w:rPr>
            <w:t>第三章授信管理</w:t>
          </w:r>
          <w:r>
            <w:tab/>
          </w:r>
          <w:r>
            <w:fldChar w:fldCharType="begin"/>
          </w:r>
          <w:r>
            <w:instrText xml:space="preserve"> PAGEREF _Toc3780 \h </w:instrText>
          </w:r>
          <w:r>
            <w:fldChar w:fldCharType="separate"/>
          </w:r>
          <w:r>
            <w:t>277</w:t>
          </w:r>
          <w:r>
            <w:fldChar w:fldCharType="end"/>
          </w:r>
          <w:r>
            <w:fldChar w:fldCharType="end"/>
          </w:r>
        </w:p>
        <w:p>
          <w:pPr>
            <w:pStyle w:val="11"/>
            <w:tabs>
              <w:tab w:val="right" w:leader="dot" w:pos="8306"/>
            </w:tabs>
          </w:pPr>
          <w:r>
            <w:fldChar w:fldCharType="begin"/>
          </w:r>
          <w:r>
            <w:instrText xml:space="preserve"> HYPERLINK \l _Toc1332 </w:instrText>
          </w:r>
          <w:r>
            <w:fldChar w:fldCharType="separate"/>
          </w:r>
          <w:r>
            <w:rPr>
              <w:rFonts w:cs="宋体" w:asciiTheme="majorEastAsia" w:hAnsiTheme="majorEastAsia" w:eastAsiaTheme="majorEastAsia"/>
              <w:bCs/>
              <w:szCs w:val="24"/>
              <w:lang w:val="en-US" w:eastAsia="zh-CN" w:bidi="ar-SA"/>
            </w:rPr>
            <w:t>33.</w:t>
          </w:r>
          <w:r>
            <w:rPr>
              <w:rFonts w:hint="eastAsia"/>
            </w:rPr>
            <w:t>《银行与信托公司业务合作指引》</w:t>
          </w:r>
          <w:r>
            <w:tab/>
          </w:r>
          <w:r>
            <w:fldChar w:fldCharType="begin"/>
          </w:r>
          <w:r>
            <w:instrText xml:space="preserve"> PAGEREF _Toc1332 \h </w:instrText>
          </w:r>
          <w:r>
            <w:fldChar w:fldCharType="separate"/>
          </w:r>
          <w:r>
            <w:t>280</w:t>
          </w:r>
          <w:r>
            <w:fldChar w:fldCharType="end"/>
          </w:r>
          <w:r>
            <w:fldChar w:fldCharType="end"/>
          </w:r>
        </w:p>
        <w:p>
          <w:pPr>
            <w:pStyle w:val="11"/>
            <w:tabs>
              <w:tab w:val="right" w:leader="dot" w:pos="8306"/>
            </w:tabs>
          </w:pPr>
          <w:r>
            <w:fldChar w:fldCharType="begin"/>
          </w:r>
          <w:r>
            <w:instrText xml:space="preserve"> HYPERLINK \l _Toc27369 </w:instrText>
          </w:r>
          <w:r>
            <w:fldChar w:fldCharType="separate"/>
          </w:r>
          <w:r>
            <w:rPr>
              <w:rFonts w:hint="eastAsia" w:cs="宋体" w:asciiTheme="majorEastAsia" w:hAnsiTheme="majorEastAsia" w:eastAsiaTheme="majorEastAsia"/>
            </w:rPr>
            <w:t>发文机构：中国银行业监督管理委员会(已撤销)</w:t>
          </w:r>
          <w:r>
            <w:tab/>
          </w:r>
          <w:r>
            <w:fldChar w:fldCharType="begin"/>
          </w:r>
          <w:r>
            <w:instrText xml:space="preserve"> PAGEREF _Toc27369 \h </w:instrText>
          </w:r>
          <w:r>
            <w:fldChar w:fldCharType="separate"/>
          </w:r>
          <w:r>
            <w:t>280</w:t>
          </w:r>
          <w:r>
            <w:fldChar w:fldCharType="end"/>
          </w:r>
          <w:r>
            <w:fldChar w:fldCharType="end"/>
          </w:r>
        </w:p>
        <w:p>
          <w:pPr>
            <w:pStyle w:val="11"/>
            <w:tabs>
              <w:tab w:val="right" w:leader="dot" w:pos="8306"/>
            </w:tabs>
          </w:pPr>
          <w:r>
            <w:fldChar w:fldCharType="begin"/>
          </w:r>
          <w:r>
            <w:instrText xml:space="preserve"> HYPERLINK \l _Toc2284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_Toc2284 \h </w:instrText>
          </w:r>
          <w:r>
            <w:fldChar w:fldCharType="separate"/>
          </w:r>
          <w:r>
            <w:t>280</w:t>
          </w:r>
          <w:r>
            <w:fldChar w:fldCharType="end"/>
          </w:r>
          <w:r>
            <w:fldChar w:fldCharType="end"/>
          </w:r>
        </w:p>
        <w:p>
          <w:pPr>
            <w:pStyle w:val="11"/>
            <w:tabs>
              <w:tab w:val="right" w:leader="dot" w:pos="8306"/>
            </w:tabs>
          </w:pPr>
          <w:r>
            <w:fldChar w:fldCharType="begin"/>
          </w:r>
          <w:r>
            <w:instrText xml:space="preserve"> HYPERLINK \l _Toc749 </w:instrText>
          </w:r>
          <w:r>
            <w:fldChar w:fldCharType="separate"/>
          </w:r>
          <w:r>
            <w:rPr>
              <w:rFonts w:hint="eastAsia" w:cs="宋体" w:asciiTheme="majorEastAsia" w:hAnsiTheme="majorEastAsia" w:eastAsiaTheme="majorEastAsia"/>
              <w:bCs/>
            </w:rPr>
            <w:t>第二章银信理财合作</w:t>
          </w:r>
          <w:r>
            <w:tab/>
          </w:r>
          <w:r>
            <w:fldChar w:fldCharType="begin"/>
          </w:r>
          <w:r>
            <w:instrText xml:space="preserve"> PAGEREF _Toc749 \h </w:instrText>
          </w:r>
          <w:r>
            <w:fldChar w:fldCharType="separate"/>
          </w:r>
          <w:r>
            <w:t>280</w:t>
          </w:r>
          <w:r>
            <w:fldChar w:fldCharType="end"/>
          </w:r>
          <w:r>
            <w:fldChar w:fldCharType="end"/>
          </w:r>
        </w:p>
        <w:p>
          <w:pPr>
            <w:pStyle w:val="11"/>
            <w:tabs>
              <w:tab w:val="right" w:leader="dot" w:pos="8306"/>
            </w:tabs>
          </w:pPr>
          <w:r>
            <w:fldChar w:fldCharType="begin"/>
          </w:r>
          <w:r>
            <w:instrText xml:space="preserve"> HYPERLINK \l _Toc5240 </w:instrText>
          </w:r>
          <w:r>
            <w:fldChar w:fldCharType="separate"/>
          </w:r>
          <w:r>
            <w:rPr>
              <w:rFonts w:hint="eastAsia" w:cs="宋体" w:asciiTheme="majorEastAsia" w:hAnsiTheme="majorEastAsia" w:eastAsiaTheme="majorEastAsia"/>
              <w:bCs/>
            </w:rPr>
            <w:t>第三章银信其他合作</w:t>
          </w:r>
          <w:r>
            <w:tab/>
          </w:r>
          <w:r>
            <w:fldChar w:fldCharType="begin"/>
          </w:r>
          <w:r>
            <w:instrText xml:space="preserve"> PAGEREF _Toc5240 \h </w:instrText>
          </w:r>
          <w:r>
            <w:fldChar w:fldCharType="separate"/>
          </w:r>
          <w:r>
            <w:t>282</w:t>
          </w:r>
          <w:r>
            <w:fldChar w:fldCharType="end"/>
          </w:r>
          <w:r>
            <w:fldChar w:fldCharType="end"/>
          </w:r>
        </w:p>
        <w:p>
          <w:pPr>
            <w:pStyle w:val="11"/>
            <w:tabs>
              <w:tab w:val="right" w:leader="dot" w:pos="8306"/>
            </w:tabs>
          </w:pPr>
          <w:r>
            <w:fldChar w:fldCharType="begin"/>
          </w:r>
          <w:r>
            <w:instrText xml:space="preserve"> HYPERLINK \l _Toc11804 </w:instrText>
          </w:r>
          <w:r>
            <w:fldChar w:fldCharType="separate"/>
          </w:r>
          <w:r>
            <w:rPr>
              <w:rFonts w:hint="eastAsia" w:cs="宋体" w:asciiTheme="majorEastAsia" w:hAnsiTheme="majorEastAsia" w:eastAsiaTheme="majorEastAsia"/>
              <w:bCs/>
            </w:rPr>
            <w:t>第四章风险管理与控制</w:t>
          </w:r>
          <w:r>
            <w:tab/>
          </w:r>
          <w:r>
            <w:fldChar w:fldCharType="begin"/>
          </w:r>
          <w:r>
            <w:instrText xml:space="preserve"> PAGEREF _Toc11804 \h </w:instrText>
          </w:r>
          <w:r>
            <w:fldChar w:fldCharType="separate"/>
          </w:r>
          <w:r>
            <w:t>284</w:t>
          </w:r>
          <w:r>
            <w:fldChar w:fldCharType="end"/>
          </w:r>
          <w:r>
            <w:fldChar w:fldCharType="end"/>
          </w:r>
        </w:p>
        <w:p>
          <w:pPr>
            <w:pStyle w:val="11"/>
            <w:tabs>
              <w:tab w:val="right" w:leader="dot" w:pos="8306"/>
            </w:tabs>
          </w:pPr>
          <w:r>
            <w:fldChar w:fldCharType="begin"/>
          </w:r>
          <w:r>
            <w:instrText xml:space="preserve"> HYPERLINK \l _Toc20370 </w:instrText>
          </w:r>
          <w:r>
            <w:fldChar w:fldCharType="separate"/>
          </w:r>
          <w:r>
            <w:rPr>
              <w:rFonts w:cs="宋体" w:asciiTheme="majorEastAsia" w:hAnsiTheme="majorEastAsia" w:eastAsiaTheme="majorEastAsia"/>
              <w:bCs/>
              <w:szCs w:val="24"/>
              <w:lang w:val="en-US" w:eastAsia="zh-CN" w:bidi="ar-SA"/>
            </w:rPr>
            <w:t>34.</w:t>
          </w:r>
          <w:r>
            <w:rPr>
              <w:rFonts w:hint="eastAsia"/>
            </w:rPr>
            <w:t>《中国人民银行中国银行业监督管理委员会关于进一步加强信贷结构调整促进国民经济平稳较快发展的指导意见》</w:t>
          </w:r>
          <w:r>
            <w:tab/>
          </w:r>
          <w:r>
            <w:fldChar w:fldCharType="begin"/>
          </w:r>
          <w:r>
            <w:instrText xml:space="preserve"> PAGEREF _Toc20370 \h </w:instrText>
          </w:r>
          <w:r>
            <w:fldChar w:fldCharType="separate"/>
          </w:r>
          <w:r>
            <w:t>286</w:t>
          </w:r>
          <w:r>
            <w:fldChar w:fldCharType="end"/>
          </w:r>
          <w:r>
            <w:fldChar w:fldCharType="end"/>
          </w:r>
        </w:p>
        <w:p>
          <w:pPr>
            <w:pStyle w:val="11"/>
            <w:tabs>
              <w:tab w:val="right" w:leader="dot" w:pos="8306"/>
            </w:tabs>
          </w:pPr>
          <w:r>
            <w:fldChar w:fldCharType="begin"/>
          </w:r>
          <w:r>
            <w:instrText xml:space="preserve"> HYPERLINK \l _Toc21625 </w:instrText>
          </w:r>
          <w:r>
            <w:fldChar w:fldCharType="separate"/>
          </w:r>
          <w:r>
            <w:rPr>
              <w:rFonts w:cs="宋体" w:asciiTheme="majorEastAsia" w:hAnsiTheme="majorEastAsia" w:eastAsiaTheme="majorEastAsia"/>
              <w:bCs/>
              <w:szCs w:val="24"/>
              <w:lang w:val="en-US" w:eastAsia="zh-CN" w:bidi="ar-SA"/>
            </w:rPr>
            <w:t>35.</w:t>
          </w:r>
          <w:r>
            <w:rPr>
              <w:rFonts w:hint="eastAsia"/>
            </w:rPr>
            <w:t>《国务院关于调整固定资产投资项目资本金比例的通知》</w:t>
          </w:r>
          <w:r>
            <w:tab/>
          </w:r>
          <w:r>
            <w:fldChar w:fldCharType="begin"/>
          </w:r>
          <w:r>
            <w:instrText xml:space="preserve"> PAGEREF _Toc21625 \h </w:instrText>
          </w:r>
          <w:r>
            <w:fldChar w:fldCharType="separate"/>
          </w:r>
          <w:r>
            <w:t>293</w:t>
          </w:r>
          <w:r>
            <w:fldChar w:fldCharType="end"/>
          </w:r>
          <w:r>
            <w:fldChar w:fldCharType="end"/>
          </w:r>
        </w:p>
        <w:p>
          <w:pPr>
            <w:pStyle w:val="11"/>
            <w:tabs>
              <w:tab w:val="right" w:leader="dot" w:pos="8306"/>
            </w:tabs>
          </w:pPr>
          <w:r>
            <w:fldChar w:fldCharType="begin"/>
          </w:r>
          <w:r>
            <w:instrText xml:space="preserve"> HYPERLINK \l _Toc11418 </w:instrText>
          </w:r>
          <w:r>
            <w:fldChar w:fldCharType="separate"/>
          </w:r>
          <w:r>
            <w:rPr>
              <w:rFonts w:cs="宋体" w:asciiTheme="majorEastAsia" w:hAnsiTheme="majorEastAsia" w:eastAsiaTheme="majorEastAsia"/>
              <w:bCs/>
              <w:szCs w:val="24"/>
              <w:lang w:val="en-US" w:eastAsia="zh-CN" w:bidi="ar-SA"/>
            </w:rPr>
            <w:t>36.</w:t>
          </w:r>
          <w:r>
            <w:rPr>
              <w:rFonts w:hint="eastAsia"/>
            </w:rPr>
            <w:t>《项目融资业务指引》</w:t>
          </w:r>
          <w:r>
            <w:tab/>
          </w:r>
          <w:r>
            <w:fldChar w:fldCharType="begin"/>
          </w:r>
          <w:r>
            <w:instrText xml:space="preserve"> PAGEREF _Toc11418 \h </w:instrText>
          </w:r>
          <w:r>
            <w:fldChar w:fldCharType="separate"/>
          </w:r>
          <w:r>
            <w:t>295</w:t>
          </w:r>
          <w:r>
            <w:fldChar w:fldCharType="end"/>
          </w:r>
          <w:r>
            <w:fldChar w:fldCharType="end"/>
          </w:r>
        </w:p>
        <w:p>
          <w:pPr>
            <w:pStyle w:val="11"/>
            <w:tabs>
              <w:tab w:val="right" w:leader="dot" w:pos="8306"/>
            </w:tabs>
          </w:pPr>
          <w:r>
            <w:fldChar w:fldCharType="begin"/>
          </w:r>
          <w:r>
            <w:instrText xml:space="preserve"> HYPERLINK \l _Toc18344 </w:instrText>
          </w:r>
          <w:r>
            <w:fldChar w:fldCharType="separate"/>
          </w:r>
          <w:r>
            <w:rPr>
              <w:rFonts w:cs="宋体" w:asciiTheme="majorEastAsia" w:hAnsiTheme="majorEastAsia" w:eastAsiaTheme="majorEastAsia"/>
              <w:bCs/>
              <w:szCs w:val="24"/>
              <w:lang w:val="en-US" w:eastAsia="zh-CN" w:bidi="ar-SA"/>
            </w:rPr>
            <w:t>37.</w:t>
          </w:r>
          <w:r>
            <w:rPr>
              <w:rFonts w:hint="eastAsia"/>
            </w:rPr>
            <w:t>《纸质商业汇票登记查询管理办法》</w:t>
          </w:r>
          <w:r>
            <w:tab/>
          </w:r>
          <w:r>
            <w:fldChar w:fldCharType="begin"/>
          </w:r>
          <w:r>
            <w:instrText xml:space="preserve"> PAGEREF _Toc18344 \h </w:instrText>
          </w:r>
          <w:r>
            <w:fldChar w:fldCharType="separate"/>
          </w:r>
          <w:r>
            <w:t>298</w:t>
          </w:r>
          <w:r>
            <w:fldChar w:fldCharType="end"/>
          </w:r>
          <w:r>
            <w:fldChar w:fldCharType="end"/>
          </w:r>
        </w:p>
        <w:p>
          <w:pPr>
            <w:pStyle w:val="11"/>
            <w:tabs>
              <w:tab w:val="right" w:leader="dot" w:pos="8306"/>
            </w:tabs>
          </w:pPr>
          <w:r>
            <w:fldChar w:fldCharType="begin"/>
          </w:r>
          <w:r>
            <w:instrText xml:space="preserve"> HYPERLINK \l _Toc17500 </w:instrText>
          </w:r>
          <w:r>
            <w:fldChar w:fldCharType="separate"/>
          </w:r>
          <w:r>
            <w:rPr>
              <w:rFonts w:cs="宋体" w:asciiTheme="majorEastAsia" w:hAnsiTheme="majorEastAsia" w:eastAsiaTheme="majorEastAsia"/>
              <w:bCs/>
              <w:szCs w:val="24"/>
              <w:lang w:val="en-US" w:eastAsia="zh-CN" w:bidi="ar-SA"/>
            </w:rPr>
            <w:t>38.</w:t>
          </w:r>
          <w:r>
            <w:rPr>
              <w:rFonts w:hint="eastAsia"/>
            </w:rPr>
            <w:t>中国银监会办公厅关于严格执行《固定资产贷款管理暂行办法》、《流动资金贷款管理暂行办法》和《项目融资业务指引》的通知</w:t>
          </w:r>
          <w:r>
            <w:tab/>
          </w:r>
          <w:r>
            <w:fldChar w:fldCharType="begin"/>
          </w:r>
          <w:r>
            <w:instrText xml:space="preserve"> PAGEREF _Toc17500 \h </w:instrText>
          </w:r>
          <w:r>
            <w:fldChar w:fldCharType="separate"/>
          </w:r>
          <w:r>
            <w:t>302</w:t>
          </w:r>
          <w:r>
            <w:fldChar w:fldCharType="end"/>
          </w:r>
          <w:r>
            <w:fldChar w:fldCharType="end"/>
          </w:r>
        </w:p>
        <w:p>
          <w:pPr>
            <w:pStyle w:val="11"/>
            <w:tabs>
              <w:tab w:val="right" w:leader="dot" w:pos="8306"/>
            </w:tabs>
          </w:pPr>
          <w:r>
            <w:fldChar w:fldCharType="begin"/>
          </w:r>
          <w:r>
            <w:instrText xml:space="preserve"> HYPERLINK \l _Toc31763 </w:instrText>
          </w:r>
          <w:r>
            <w:fldChar w:fldCharType="separate"/>
          </w:r>
          <w:r>
            <w:rPr>
              <w:rFonts w:cs="宋体" w:asciiTheme="majorEastAsia" w:hAnsiTheme="majorEastAsia" w:eastAsiaTheme="majorEastAsia"/>
              <w:bCs/>
              <w:szCs w:val="24"/>
              <w:lang w:val="en-US" w:eastAsia="zh-CN" w:bidi="ar-SA"/>
            </w:rPr>
            <w:t>39.</w:t>
          </w:r>
          <w:r>
            <w:rPr>
              <w:rFonts w:hint="eastAsia"/>
            </w:rPr>
            <w:t>《中国银监会办公厅关于房屋抵押贷款风险提示的通知》</w:t>
          </w:r>
          <w:r>
            <w:tab/>
          </w:r>
          <w:r>
            <w:fldChar w:fldCharType="begin"/>
          </w:r>
          <w:r>
            <w:instrText xml:space="preserve"> PAGEREF _Toc31763 \h </w:instrText>
          </w:r>
          <w:r>
            <w:fldChar w:fldCharType="separate"/>
          </w:r>
          <w:r>
            <w:t>303</w:t>
          </w:r>
          <w:r>
            <w:fldChar w:fldCharType="end"/>
          </w:r>
          <w:r>
            <w:fldChar w:fldCharType="end"/>
          </w:r>
        </w:p>
        <w:p>
          <w:pPr>
            <w:pStyle w:val="11"/>
            <w:tabs>
              <w:tab w:val="right" w:leader="dot" w:pos="8306"/>
            </w:tabs>
          </w:pPr>
          <w:r>
            <w:fldChar w:fldCharType="begin"/>
          </w:r>
          <w:r>
            <w:instrText xml:space="preserve"> HYPERLINK \l _Toc27697 </w:instrText>
          </w:r>
          <w:r>
            <w:fldChar w:fldCharType="separate"/>
          </w:r>
          <w:r>
            <w:rPr>
              <w:rFonts w:cs="宋体" w:asciiTheme="majorEastAsia" w:hAnsiTheme="majorEastAsia" w:eastAsiaTheme="majorEastAsia"/>
              <w:bCs/>
              <w:szCs w:val="24"/>
              <w:lang w:val="en-US" w:eastAsia="zh-CN" w:bidi="ar-SA"/>
            </w:rPr>
            <w:t>40.</w:t>
          </w:r>
          <w:r>
            <w:rPr>
              <w:rFonts w:hint="eastAsia"/>
            </w:rPr>
            <w:t>中国银行业监督管理委员会关于《固定资产贷款管理暂行办法》的解释口径</w:t>
          </w:r>
          <w:r>
            <w:tab/>
          </w:r>
          <w:r>
            <w:fldChar w:fldCharType="begin"/>
          </w:r>
          <w:r>
            <w:instrText xml:space="preserve"> PAGEREF _Toc27697 \h </w:instrText>
          </w:r>
          <w:r>
            <w:fldChar w:fldCharType="separate"/>
          </w:r>
          <w:r>
            <w:t>305</w:t>
          </w:r>
          <w:r>
            <w:fldChar w:fldCharType="end"/>
          </w:r>
          <w:r>
            <w:fldChar w:fldCharType="end"/>
          </w:r>
        </w:p>
        <w:p>
          <w:pPr>
            <w:pStyle w:val="11"/>
            <w:tabs>
              <w:tab w:val="right" w:leader="dot" w:pos="8306"/>
            </w:tabs>
          </w:pPr>
          <w:r>
            <w:fldChar w:fldCharType="begin"/>
          </w:r>
          <w:r>
            <w:instrText xml:space="preserve"> HYPERLINK \l _Toc14189 </w:instrText>
          </w:r>
          <w:r>
            <w:fldChar w:fldCharType="separate"/>
          </w:r>
          <w:r>
            <w:rPr>
              <w:rFonts w:cs="宋体" w:asciiTheme="majorEastAsia" w:hAnsiTheme="majorEastAsia" w:eastAsiaTheme="majorEastAsia"/>
              <w:bCs/>
              <w:szCs w:val="24"/>
              <w:lang w:val="en-US" w:eastAsia="zh-CN" w:bidi="ar-SA"/>
            </w:rPr>
            <w:t>41.</w:t>
          </w:r>
          <w:r>
            <w:rPr>
              <w:rFonts w:hint="eastAsia"/>
            </w:rPr>
            <w:t>《中国银监会关于规范银行业金融机构搭桥贷款业务的通知》</w:t>
          </w:r>
          <w:r>
            <w:tab/>
          </w:r>
          <w:r>
            <w:fldChar w:fldCharType="begin"/>
          </w:r>
          <w:r>
            <w:instrText xml:space="preserve"> PAGEREF _Toc14189 \h </w:instrText>
          </w:r>
          <w:r>
            <w:fldChar w:fldCharType="separate"/>
          </w:r>
          <w:r>
            <w:t>308</w:t>
          </w:r>
          <w:r>
            <w:fldChar w:fldCharType="end"/>
          </w:r>
          <w:r>
            <w:fldChar w:fldCharType="end"/>
          </w:r>
        </w:p>
        <w:p>
          <w:pPr>
            <w:pStyle w:val="11"/>
            <w:tabs>
              <w:tab w:val="right" w:leader="dot" w:pos="8306"/>
            </w:tabs>
          </w:pPr>
          <w:r>
            <w:fldChar w:fldCharType="begin"/>
          </w:r>
          <w:r>
            <w:instrText xml:space="preserve"> HYPERLINK \l _Toc32544 </w:instrText>
          </w:r>
          <w:r>
            <w:fldChar w:fldCharType="separate"/>
          </w:r>
          <w:r>
            <w:rPr>
              <w:rFonts w:cs="宋体" w:asciiTheme="majorEastAsia" w:hAnsiTheme="majorEastAsia" w:eastAsiaTheme="majorEastAsia"/>
              <w:bCs/>
              <w:szCs w:val="24"/>
              <w:lang w:val="en-US" w:eastAsia="zh-CN" w:bidi="ar-SA"/>
            </w:rPr>
            <w:t>42.</w:t>
          </w:r>
          <w:r>
            <w:rPr>
              <w:rFonts w:hint="eastAsia"/>
            </w:rPr>
            <w:t>《中国银监会关于规范中长期贷款还款方式的通知》</w:t>
          </w:r>
          <w:r>
            <w:tab/>
          </w:r>
          <w:r>
            <w:fldChar w:fldCharType="begin"/>
          </w:r>
          <w:r>
            <w:instrText xml:space="preserve"> PAGEREF _Toc32544 \h </w:instrText>
          </w:r>
          <w:r>
            <w:fldChar w:fldCharType="separate"/>
          </w:r>
          <w:r>
            <w:t>310</w:t>
          </w:r>
          <w:r>
            <w:fldChar w:fldCharType="end"/>
          </w:r>
          <w:r>
            <w:fldChar w:fldCharType="end"/>
          </w:r>
        </w:p>
        <w:p>
          <w:pPr>
            <w:pStyle w:val="11"/>
            <w:tabs>
              <w:tab w:val="right" w:leader="dot" w:pos="8306"/>
            </w:tabs>
          </w:pPr>
          <w:r>
            <w:fldChar w:fldCharType="begin"/>
          </w:r>
          <w:r>
            <w:instrText xml:space="preserve"> HYPERLINK \l _Toc11390 </w:instrText>
          </w:r>
          <w:r>
            <w:fldChar w:fldCharType="separate"/>
          </w:r>
          <w:r>
            <w:rPr>
              <w:rFonts w:cs="宋体" w:asciiTheme="majorEastAsia" w:hAnsiTheme="majorEastAsia" w:eastAsiaTheme="majorEastAsia"/>
              <w:bCs/>
              <w:szCs w:val="24"/>
              <w:lang w:val="en-US" w:eastAsia="zh-CN" w:bidi="ar-SA"/>
            </w:rPr>
            <w:t>43.</w:t>
          </w:r>
          <w:r>
            <w:rPr>
              <w:rFonts w:hint="eastAsia"/>
            </w:rPr>
            <w:t>《中国银监会关于进一步规范银行业金融机构信贷资产转让业务的通知》</w:t>
          </w:r>
          <w:r>
            <w:tab/>
          </w:r>
          <w:r>
            <w:fldChar w:fldCharType="begin"/>
          </w:r>
          <w:r>
            <w:instrText xml:space="preserve"> PAGEREF _Toc11390 \h </w:instrText>
          </w:r>
          <w:r>
            <w:fldChar w:fldCharType="separate"/>
          </w:r>
          <w:r>
            <w:t>313</w:t>
          </w:r>
          <w:r>
            <w:fldChar w:fldCharType="end"/>
          </w:r>
          <w:r>
            <w:fldChar w:fldCharType="end"/>
          </w:r>
        </w:p>
        <w:p>
          <w:pPr>
            <w:pStyle w:val="11"/>
            <w:tabs>
              <w:tab w:val="right" w:leader="dot" w:pos="8306"/>
            </w:tabs>
          </w:pPr>
          <w:r>
            <w:fldChar w:fldCharType="begin"/>
          </w:r>
          <w:r>
            <w:instrText xml:space="preserve"> HYPERLINK \l _Toc21744 </w:instrText>
          </w:r>
          <w:r>
            <w:fldChar w:fldCharType="separate"/>
          </w:r>
          <w:r>
            <w:rPr>
              <w:rFonts w:cs="宋体" w:asciiTheme="majorEastAsia" w:hAnsiTheme="majorEastAsia" w:eastAsiaTheme="majorEastAsia"/>
              <w:bCs/>
              <w:szCs w:val="24"/>
              <w:lang w:val="en-US" w:eastAsia="zh-CN" w:bidi="ar-SA"/>
            </w:rPr>
            <w:t>44.</w:t>
          </w:r>
          <w:r>
            <w:rPr>
              <w:rFonts w:hint="eastAsia"/>
            </w:rPr>
            <w:t>《中国银监会关于加强融资平台贷款风险管理的指导意见》</w:t>
          </w:r>
          <w:r>
            <w:tab/>
          </w:r>
          <w:r>
            <w:fldChar w:fldCharType="begin"/>
          </w:r>
          <w:r>
            <w:instrText xml:space="preserve"> PAGEREF _Toc21744 \h </w:instrText>
          </w:r>
          <w:r>
            <w:fldChar w:fldCharType="separate"/>
          </w:r>
          <w:r>
            <w:t>316</w:t>
          </w:r>
          <w:r>
            <w:fldChar w:fldCharType="end"/>
          </w:r>
          <w:r>
            <w:fldChar w:fldCharType="end"/>
          </w:r>
        </w:p>
        <w:p>
          <w:pPr>
            <w:pStyle w:val="11"/>
            <w:tabs>
              <w:tab w:val="right" w:leader="dot" w:pos="8306"/>
            </w:tabs>
          </w:pPr>
          <w:r>
            <w:fldChar w:fldCharType="begin"/>
          </w:r>
          <w:r>
            <w:instrText xml:space="preserve"> HYPERLINK \l _Toc20521 </w:instrText>
          </w:r>
          <w:r>
            <w:fldChar w:fldCharType="separate"/>
          </w:r>
          <w:r>
            <w:rPr>
              <w:rFonts w:cs="宋体" w:asciiTheme="majorEastAsia" w:hAnsiTheme="majorEastAsia" w:eastAsiaTheme="majorEastAsia"/>
              <w:bCs/>
              <w:szCs w:val="24"/>
              <w:lang w:val="en-US" w:eastAsia="zh-CN" w:bidi="ar-SA"/>
            </w:rPr>
            <w:t>45.</w:t>
          </w:r>
          <w:r>
            <w:rPr>
              <w:rFonts w:hint="eastAsia"/>
            </w:rPr>
            <w:t>《中国银监会关于规范商业银行使用外部信用评级的通知》</w:t>
          </w:r>
          <w:r>
            <w:tab/>
          </w:r>
          <w:r>
            <w:fldChar w:fldCharType="begin"/>
          </w:r>
          <w:r>
            <w:instrText xml:space="preserve"> PAGEREF _Toc20521 \h </w:instrText>
          </w:r>
          <w:r>
            <w:fldChar w:fldCharType="separate"/>
          </w:r>
          <w:r>
            <w:t>320</w:t>
          </w:r>
          <w:r>
            <w:fldChar w:fldCharType="end"/>
          </w:r>
          <w:r>
            <w:fldChar w:fldCharType="end"/>
          </w:r>
        </w:p>
        <w:p>
          <w:pPr>
            <w:pStyle w:val="11"/>
            <w:tabs>
              <w:tab w:val="right" w:leader="dot" w:pos="8306"/>
            </w:tabs>
          </w:pPr>
          <w:r>
            <w:fldChar w:fldCharType="begin"/>
          </w:r>
          <w:r>
            <w:instrText xml:space="preserve"> HYPERLINK \l _Toc11847 </w:instrText>
          </w:r>
          <w:r>
            <w:fldChar w:fldCharType="separate"/>
          </w:r>
          <w:r>
            <w:rPr>
              <w:rFonts w:cs="宋体" w:asciiTheme="majorEastAsia" w:hAnsiTheme="majorEastAsia" w:eastAsiaTheme="majorEastAsia"/>
              <w:bCs/>
              <w:szCs w:val="24"/>
              <w:lang w:val="en-US" w:eastAsia="zh-CN" w:bidi="ar-SA"/>
            </w:rPr>
            <w:t>46.</w:t>
          </w:r>
          <w:r>
            <w:rPr>
              <w:rFonts w:hint="eastAsia"/>
            </w:rPr>
            <w:t>《中国银行业监督管理委员会办公厅关于银行承兑汇票业务案件风险提示的通知》</w:t>
          </w:r>
          <w:r>
            <w:tab/>
          </w:r>
          <w:r>
            <w:fldChar w:fldCharType="begin"/>
          </w:r>
          <w:r>
            <w:instrText xml:space="preserve"> PAGEREF _Toc11847 \h </w:instrText>
          </w:r>
          <w:r>
            <w:fldChar w:fldCharType="separate"/>
          </w:r>
          <w:r>
            <w:t>323</w:t>
          </w:r>
          <w:r>
            <w:fldChar w:fldCharType="end"/>
          </w:r>
          <w:r>
            <w:fldChar w:fldCharType="end"/>
          </w:r>
        </w:p>
        <w:p>
          <w:pPr>
            <w:pStyle w:val="11"/>
            <w:tabs>
              <w:tab w:val="right" w:leader="dot" w:pos="8306"/>
            </w:tabs>
          </w:pPr>
          <w:r>
            <w:fldChar w:fldCharType="begin"/>
          </w:r>
          <w:r>
            <w:instrText xml:space="preserve"> HYPERLINK \l _Toc23613 </w:instrText>
          </w:r>
          <w:r>
            <w:fldChar w:fldCharType="separate"/>
          </w:r>
          <w:r>
            <w:rPr>
              <w:rFonts w:cs="宋体" w:asciiTheme="majorEastAsia" w:hAnsiTheme="majorEastAsia" w:eastAsiaTheme="majorEastAsia"/>
              <w:bCs/>
              <w:szCs w:val="24"/>
              <w:lang w:val="en-US" w:eastAsia="zh-CN" w:bidi="ar-SA"/>
            </w:rPr>
            <w:t>47.</w:t>
          </w:r>
          <w:r>
            <w:rPr>
              <w:rFonts w:hint="eastAsia"/>
            </w:rPr>
            <w:t>《中国银监会办公厅关于票据业务风险提示的通知》</w:t>
          </w:r>
          <w:r>
            <w:tab/>
          </w:r>
          <w:r>
            <w:fldChar w:fldCharType="begin"/>
          </w:r>
          <w:r>
            <w:instrText xml:space="preserve"> PAGEREF _Toc23613 \h </w:instrText>
          </w:r>
          <w:r>
            <w:fldChar w:fldCharType="separate"/>
          </w:r>
          <w:r>
            <w:t>325</w:t>
          </w:r>
          <w:r>
            <w:fldChar w:fldCharType="end"/>
          </w:r>
          <w:r>
            <w:fldChar w:fldCharType="end"/>
          </w:r>
        </w:p>
        <w:p>
          <w:pPr>
            <w:pStyle w:val="11"/>
            <w:tabs>
              <w:tab w:val="right" w:leader="dot" w:pos="8306"/>
            </w:tabs>
          </w:pPr>
          <w:r>
            <w:fldChar w:fldCharType="begin"/>
          </w:r>
          <w:r>
            <w:instrText xml:space="preserve"> HYPERLINK \l _Toc4695 </w:instrText>
          </w:r>
          <w:r>
            <w:fldChar w:fldCharType="separate"/>
          </w:r>
          <w:r>
            <w:rPr>
              <w:rFonts w:cs="宋体" w:asciiTheme="majorEastAsia" w:hAnsiTheme="majorEastAsia" w:eastAsiaTheme="majorEastAsia"/>
              <w:bCs/>
              <w:szCs w:val="24"/>
              <w:lang w:val="en-US" w:eastAsia="zh-CN" w:bidi="ar-SA"/>
            </w:rPr>
            <w:t>48.</w:t>
          </w:r>
          <w:r>
            <w:rPr>
              <w:rFonts w:hint="eastAsia"/>
            </w:rPr>
            <w:t>《银团贷款业务指引（2011修订）》</w:t>
          </w:r>
          <w:r>
            <w:tab/>
          </w:r>
          <w:r>
            <w:fldChar w:fldCharType="begin"/>
          </w:r>
          <w:r>
            <w:instrText xml:space="preserve"> PAGEREF _Toc4695 \h </w:instrText>
          </w:r>
          <w:r>
            <w:fldChar w:fldCharType="separate"/>
          </w:r>
          <w:r>
            <w:t>328</w:t>
          </w:r>
          <w:r>
            <w:fldChar w:fldCharType="end"/>
          </w:r>
          <w:r>
            <w:fldChar w:fldCharType="end"/>
          </w:r>
        </w:p>
        <w:p>
          <w:pPr>
            <w:pStyle w:val="11"/>
            <w:tabs>
              <w:tab w:val="right" w:leader="dot" w:pos="8306"/>
            </w:tabs>
          </w:pPr>
          <w:r>
            <w:fldChar w:fldCharType="begin"/>
          </w:r>
          <w:r>
            <w:instrText xml:space="preserve"> HYPERLINK \l _Toc9542 </w:instrText>
          </w:r>
          <w:r>
            <w:fldChar w:fldCharType="separate"/>
          </w:r>
          <w:r>
            <w:rPr>
              <w:rFonts w:hint="eastAsia" w:cs="宋体" w:asciiTheme="majorEastAsia" w:hAnsiTheme="majorEastAsia" w:eastAsiaTheme="majorEastAsia"/>
            </w:rPr>
            <w:t>发文机构：中国银行业监督管理委员会（已撤销）</w:t>
          </w:r>
          <w:r>
            <w:tab/>
          </w:r>
          <w:r>
            <w:fldChar w:fldCharType="begin"/>
          </w:r>
          <w:r>
            <w:instrText xml:space="preserve"> PAGEREF _Toc9542 \h </w:instrText>
          </w:r>
          <w:r>
            <w:fldChar w:fldCharType="separate"/>
          </w:r>
          <w:r>
            <w:t>328</w:t>
          </w:r>
          <w:r>
            <w:fldChar w:fldCharType="end"/>
          </w:r>
          <w:r>
            <w:fldChar w:fldCharType="end"/>
          </w:r>
        </w:p>
        <w:p>
          <w:pPr>
            <w:pStyle w:val="11"/>
            <w:tabs>
              <w:tab w:val="right" w:leader="dot" w:pos="8306"/>
            </w:tabs>
          </w:pPr>
          <w:r>
            <w:fldChar w:fldCharType="begin"/>
          </w:r>
          <w:r>
            <w:instrText xml:space="preserve"> HYPERLINK \l _Toc11569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_Toc11569 \h </w:instrText>
          </w:r>
          <w:r>
            <w:fldChar w:fldCharType="separate"/>
          </w:r>
          <w:r>
            <w:t>328</w:t>
          </w:r>
          <w:r>
            <w:fldChar w:fldCharType="end"/>
          </w:r>
          <w:r>
            <w:fldChar w:fldCharType="end"/>
          </w:r>
        </w:p>
        <w:p>
          <w:pPr>
            <w:pStyle w:val="11"/>
            <w:tabs>
              <w:tab w:val="right" w:leader="dot" w:pos="8306"/>
            </w:tabs>
          </w:pPr>
          <w:r>
            <w:fldChar w:fldCharType="begin"/>
          </w:r>
          <w:r>
            <w:instrText xml:space="preserve"> HYPERLINK \l _Toc29177 </w:instrText>
          </w:r>
          <w:r>
            <w:fldChar w:fldCharType="separate"/>
          </w:r>
          <w:r>
            <w:rPr>
              <w:rFonts w:hint="eastAsia" w:cs="宋体" w:asciiTheme="majorEastAsia" w:hAnsiTheme="majorEastAsia" w:eastAsiaTheme="majorEastAsia"/>
              <w:bCs/>
            </w:rPr>
            <w:t>第二章银团成员</w:t>
          </w:r>
          <w:r>
            <w:tab/>
          </w:r>
          <w:r>
            <w:fldChar w:fldCharType="begin"/>
          </w:r>
          <w:r>
            <w:instrText xml:space="preserve"> PAGEREF _Toc29177 \h </w:instrText>
          </w:r>
          <w:r>
            <w:fldChar w:fldCharType="separate"/>
          </w:r>
          <w:r>
            <w:t>328</w:t>
          </w:r>
          <w:r>
            <w:fldChar w:fldCharType="end"/>
          </w:r>
          <w:r>
            <w:fldChar w:fldCharType="end"/>
          </w:r>
        </w:p>
        <w:p>
          <w:pPr>
            <w:pStyle w:val="11"/>
            <w:tabs>
              <w:tab w:val="right" w:leader="dot" w:pos="8306"/>
            </w:tabs>
          </w:pPr>
          <w:r>
            <w:fldChar w:fldCharType="begin"/>
          </w:r>
          <w:r>
            <w:instrText xml:space="preserve"> HYPERLINK \l _Toc29176 </w:instrText>
          </w:r>
          <w:r>
            <w:fldChar w:fldCharType="separate"/>
          </w:r>
          <w:r>
            <w:rPr>
              <w:rFonts w:hint="eastAsia" w:cs="宋体" w:asciiTheme="majorEastAsia" w:hAnsiTheme="majorEastAsia" w:eastAsiaTheme="majorEastAsia"/>
              <w:bCs/>
            </w:rPr>
            <w:t>第三章银团贷款的发起和筹组</w:t>
          </w:r>
          <w:r>
            <w:tab/>
          </w:r>
          <w:r>
            <w:fldChar w:fldCharType="begin"/>
          </w:r>
          <w:r>
            <w:instrText xml:space="preserve"> PAGEREF _Toc29176 \h </w:instrText>
          </w:r>
          <w:r>
            <w:fldChar w:fldCharType="separate"/>
          </w:r>
          <w:r>
            <w:t>330</w:t>
          </w:r>
          <w:r>
            <w:fldChar w:fldCharType="end"/>
          </w:r>
          <w:r>
            <w:fldChar w:fldCharType="end"/>
          </w:r>
        </w:p>
        <w:p>
          <w:pPr>
            <w:pStyle w:val="11"/>
            <w:tabs>
              <w:tab w:val="right" w:leader="dot" w:pos="8306"/>
            </w:tabs>
          </w:pPr>
          <w:r>
            <w:fldChar w:fldCharType="begin"/>
          </w:r>
          <w:r>
            <w:instrText xml:space="preserve"> HYPERLINK \l _Toc6950 </w:instrText>
          </w:r>
          <w:r>
            <w:fldChar w:fldCharType="separate"/>
          </w:r>
          <w:r>
            <w:rPr>
              <w:rFonts w:hint="eastAsia" w:cs="宋体" w:asciiTheme="majorEastAsia" w:hAnsiTheme="majorEastAsia" w:eastAsiaTheme="majorEastAsia"/>
              <w:bCs/>
            </w:rPr>
            <w:t>第四章银团贷款合同</w:t>
          </w:r>
          <w:r>
            <w:tab/>
          </w:r>
          <w:r>
            <w:fldChar w:fldCharType="begin"/>
          </w:r>
          <w:r>
            <w:instrText xml:space="preserve"> PAGEREF _Toc6950 \h </w:instrText>
          </w:r>
          <w:r>
            <w:fldChar w:fldCharType="separate"/>
          </w:r>
          <w:r>
            <w:t>332</w:t>
          </w:r>
          <w:r>
            <w:fldChar w:fldCharType="end"/>
          </w:r>
          <w:r>
            <w:fldChar w:fldCharType="end"/>
          </w:r>
        </w:p>
        <w:p>
          <w:pPr>
            <w:pStyle w:val="11"/>
            <w:tabs>
              <w:tab w:val="right" w:leader="dot" w:pos="8306"/>
            </w:tabs>
          </w:pPr>
          <w:r>
            <w:fldChar w:fldCharType="begin"/>
          </w:r>
          <w:r>
            <w:instrText xml:space="preserve"> HYPERLINK \l _Toc10125 </w:instrText>
          </w:r>
          <w:r>
            <w:fldChar w:fldCharType="separate"/>
          </w:r>
          <w:r>
            <w:rPr>
              <w:rFonts w:hint="eastAsia" w:cs="宋体" w:asciiTheme="majorEastAsia" w:hAnsiTheme="majorEastAsia" w:eastAsiaTheme="majorEastAsia"/>
              <w:bCs/>
            </w:rPr>
            <w:t>第五章银团贷款管理</w:t>
          </w:r>
          <w:r>
            <w:tab/>
          </w:r>
          <w:r>
            <w:fldChar w:fldCharType="begin"/>
          </w:r>
          <w:r>
            <w:instrText xml:space="preserve"> PAGEREF _Toc10125 \h </w:instrText>
          </w:r>
          <w:r>
            <w:fldChar w:fldCharType="separate"/>
          </w:r>
          <w:r>
            <w:t>333</w:t>
          </w:r>
          <w:r>
            <w:fldChar w:fldCharType="end"/>
          </w:r>
          <w:r>
            <w:fldChar w:fldCharType="end"/>
          </w:r>
        </w:p>
        <w:p>
          <w:pPr>
            <w:pStyle w:val="11"/>
            <w:tabs>
              <w:tab w:val="right" w:leader="dot" w:pos="8306"/>
            </w:tabs>
          </w:pPr>
          <w:r>
            <w:fldChar w:fldCharType="begin"/>
          </w:r>
          <w:r>
            <w:instrText xml:space="preserve"> HYPERLINK \l _Toc8242 </w:instrText>
          </w:r>
          <w:r>
            <w:fldChar w:fldCharType="separate"/>
          </w:r>
          <w:r>
            <w:rPr>
              <w:rFonts w:hint="eastAsia" w:cs="宋体" w:asciiTheme="majorEastAsia" w:hAnsiTheme="majorEastAsia" w:eastAsiaTheme="majorEastAsia"/>
              <w:bCs/>
            </w:rPr>
            <w:t>第六章银团贷款收费</w:t>
          </w:r>
          <w:r>
            <w:tab/>
          </w:r>
          <w:r>
            <w:fldChar w:fldCharType="begin"/>
          </w:r>
          <w:r>
            <w:instrText xml:space="preserve"> PAGEREF _Toc8242 \h </w:instrText>
          </w:r>
          <w:r>
            <w:fldChar w:fldCharType="separate"/>
          </w:r>
          <w:r>
            <w:t>335</w:t>
          </w:r>
          <w:r>
            <w:fldChar w:fldCharType="end"/>
          </w:r>
          <w:r>
            <w:fldChar w:fldCharType="end"/>
          </w:r>
        </w:p>
        <w:p>
          <w:pPr>
            <w:pStyle w:val="11"/>
            <w:tabs>
              <w:tab w:val="right" w:leader="dot" w:pos="8306"/>
            </w:tabs>
          </w:pPr>
          <w:r>
            <w:fldChar w:fldCharType="begin"/>
          </w:r>
          <w:r>
            <w:instrText xml:space="preserve"> HYPERLINK \l _Toc31651 </w:instrText>
          </w:r>
          <w:r>
            <w:fldChar w:fldCharType="separate"/>
          </w:r>
          <w:r>
            <w:rPr>
              <w:rFonts w:hint="eastAsia" w:cs="宋体" w:asciiTheme="majorEastAsia" w:hAnsiTheme="majorEastAsia" w:eastAsiaTheme="majorEastAsia"/>
              <w:bCs/>
            </w:rPr>
            <w:t>第七章银团贷款转让交易</w:t>
          </w:r>
          <w:r>
            <w:tab/>
          </w:r>
          <w:r>
            <w:fldChar w:fldCharType="begin"/>
          </w:r>
          <w:r>
            <w:instrText xml:space="preserve"> PAGEREF _Toc31651 \h </w:instrText>
          </w:r>
          <w:r>
            <w:fldChar w:fldCharType="separate"/>
          </w:r>
          <w:r>
            <w:t>336</w:t>
          </w:r>
          <w:r>
            <w:fldChar w:fldCharType="end"/>
          </w:r>
          <w:r>
            <w:fldChar w:fldCharType="end"/>
          </w:r>
        </w:p>
        <w:p>
          <w:pPr>
            <w:pStyle w:val="11"/>
            <w:tabs>
              <w:tab w:val="right" w:leader="dot" w:pos="8306"/>
            </w:tabs>
          </w:pPr>
          <w:r>
            <w:fldChar w:fldCharType="begin"/>
          </w:r>
          <w:r>
            <w:instrText xml:space="preserve"> HYPERLINK \l _Toc31844 </w:instrText>
          </w:r>
          <w:r>
            <w:fldChar w:fldCharType="separate"/>
          </w:r>
          <w:r>
            <w:rPr>
              <w:rFonts w:hint="eastAsia" w:cs="宋体" w:asciiTheme="majorEastAsia" w:hAnsiTheme="majorEastAsia" w:eastAsiaTheme="majorEastAsia"/>
              <w:bCs/>
            </w:rPr>
            <w:t>第八章附则</w:t>
          </w:r>
          <w:r>
            <w:tab/>
          </w:r>
          <w:r>
            <w:fldChar w:fldCharType="begin"/>
          </w:r>
          <w:r>
            <w:instrText xml:space="preserve"> PAGEREF _Toc31844 \h </w:instrText>
          </w:r>
          <w:r>
            <w:fldChar w:fldCharType="separate"/>
          </w:r>
          <w:r>
            <w:t>336</w:t>
          </w:r>
          <w:r>
            <w:fldChar w:fldCharType="end"/>
          </w:r>
          <w:r>
            <w:fldChar w:fldCharType="end"/>
          </w:r>
        </w:p>
        <w:p>
          <w:pPr>
            <w:pStyle w:val="11"/>
            <w:tabs>
              <w:tab w:val="right" w:leader="dot" w:pos="8306"/>
            </w:tabs>
          </w:pPr>
          <w:r>
            <w:fldChar w:fldCharType="begin"/>
          </w:r>
          <w:r>
            <w:instrText xml:space="preserve"> HYPERLINK \l _Toc22360 </w:instrText>
          </w:r>
          <w:r>
            <w:fldChar w:fldCharType="separate"/>
          </w:r>
          <w:r>
            <w:rPr>
              <w:rFonts w:cs="宋体" w:asciiTheme="majorEastAsia" w:hAnsiTheme="majorEastAsia" w:eastAsiaTheme="majorEastAsia"/>
              <w:bCs/>
              <w:szCs w:val="24"/>
              <w:lang w:val="en-US" w:eastAsia="zh-CN" w:bidi="ar-SA"/>
            </w:rPr>
            <w:t>49.</w:t>
          </w:r>
          <w:r>
            <w:rPr>
              <w:rFonts w:hint="eastAsia"/>
            </w:rPr>
            <w:t>《绿色信贷指引》</w:t>
          </w:r>
          <w:r>
            <w:tab/>
          </w:r>
          <w:r>
            <w:fldChar w:fldCharType="begin"/>
          </w:r>
          <w:r>
            <w:instrText xml:space="preserve"> PAGEREF _Toc22360 \h </w:instrText>
          </w:r>
          <w:r>
            <w:fldChar w:fldCharType="separate"/>
          </w:r>
          <w:r>
            <w:t>338</w:t>
          </w:r>
          <w:r>
            <w:fldChar w:fldCharType="end"/>
          </w:r>
          <w:r>
            <w:fldChar w:fldCharType="end"/>
          </w:r>
        </w:p>
        <w:p>
          <w:pPr>
            <w:pStyle w:val="11"/>
            <w:tabs>
              <w:tab w:val="right" w:leader="dot" w:pos="8306"/>
            </w:tabs>
          </w:pPr>
          <w:r>
            <w:fldChar w:fldCharType="begin"/>
          </w:r>
          <w:r>
            <w:instrText xml:space="preserve"> HYPERLINK \l _Toc11142 </w:instrText>
          </w:r>
          <w:r>
            <w:fldChar w:fldCharType="separate"/>
          </w:r>
          <w:r>
            <w:rPr>
              <w:rFonts w:hint="eastAsia" w:cs="宋体" w:asciiTheme="majorEastAsia" w:hAnsiTheme="majorEastAsia" w:eastAsiaTheme="majorEastAsia"/>
            </w:rPr>
            <w:t>发文机构：中国银行业监督管理委员会（已撤销）</w:t>
          </w:r>
          <w:r>
            <w:tab/>
          </w:r>
          <w:r>
            <w:fldChar w:fldCharType="begin"/>
          </w:r>
          <w:r>
            <w:instrText xml:space="preserve"> PAGEREF _Toc11142 \h </w:instrText>
          </w:r>
          <w:r>
            <w:fldChar w:fldCharType="separate"/>
          </w:r>
          <w:r>
            <w:t>338</w:t>
          </w:r>
          <w:r>
            <w:fldChar w:fldCharType="end"/>
          </w:r>
          <w:r>
            <w:fldChar w:fldCharType="end"/>
          </w:r>
        </w:p>
        <w:p>
          <w:pPr>
            <w:pStyle w:val="11"/>
            <w:tabs>
              <w:tab w:val="right" w:leader="dot" w:pos="8306"/>
            </w:tabs>
          </w:pPr>
          <w:r>
            <w:fldChar w:fldCharType="begin"/>
          </w:r>
          <w:r>
            <w:instrText xml:space="preserve"> HYPERLINK \l _Toc18894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_Toc18894 \h </w:instrText>
          </w:r>
          <w:r>
            <w:fldChar w:fldCharType="separate"/>
          </w:r>
          <w:r>
            <w:t>338</w:t>
          </w:r>
          <w:r>
            <w:fldChar w:fldCharType="end"/>
          </w:r>
          <w:r>
            <w:fldChar w:fldCharType="end"/>
          </w:r>
        </w:p>
        <w:p>
          <w:pPr>
            <w:pStyle w:val="11"/>
            <w:tabs>
              <w:tab w:val="right" w:leader="dot" w:pos="8306"/>
            </w:tabs>
          </w:pPr>
          <w:r>
            <w:fldChar w:fldCharType="begin"/>
          </w:r>
          <w:r>
            <w:instrText xml:space="preserve"> HYPERLINK \l _Toc173 </w:instrText>
          </w:r>
          <w:r>
            <w:fldChar w:fldCharType="separate"/>
          </w:r>
          <w:r>
            <w:rPr>
              <w:rFonts w:hint="eastAsia" w:cs="宋体" w:asciiTheme="majorEastAsia" w:hAnsiTheme="majorEastAsia" w:eastAsiaTheme="majorEastAsia"/>
              <w:bCs/>
            </w:rPr>
            <w:t>第二章组织管理</w:t>
          </w:r>
          <w:r>
            <w:tab/>
          </w:r>
          <w:r>
            <w:fldChar w:fldCharType="begin"/>
          </w:r>
          <w:r>
            <w:instrText xml:space="preserve"> PAGEREF _Toc173 \h </w:instrText>
          </w:r>
          <w:r>
            <w:fldChar w:fldCharType="separate"/>
          </w:r>
          <w:r>
            <w:t>338</w:t>
          </w:r>
          <w:r>
            <w:fldChar w:fldCharType="end"/>
          </w:r>
          <w:r>
            <w:fldChar w:fldCharType="end"/>
          </w:r>
        </w:p>
        <w:p>
          <w:pPr>
            <w:pStyle w:val="11"/>
            <w:tabs>
              <w:tab w:val="right" w:leader="dot" w:pos="8306"/>
            </w:tabs>
          </w:pPr>
          <w:r>
            <w:fldChar w:fldCharType="begin"/>
          </w:r>
          <w:r>
            <w:instrText xml:space="preserve"> HYPERLINK \l _Toc16475 </w:instrText>
          </w:r>
          <w:r>
            <w:fldChar w:fldCharType="separate"/>
          </w:r>
          <w:r>
            <w:rPr>
              <w:rFonts w:hint="eastAsia" w:cs="宋体" w:asciiTheme="majorEastAsia" w:hAnsiTheme="majorEastAsia" w:eastAsiaTheme="majorEastAsia"/>
              <w:bCs/>
            </w:rPr>
            <w:t>第三章政策制度及能力建设</w:t>
          </w:r>
          <w:r>
            <w:tab/>
          </w:r>
          <w:r>
            <w:fldChar w:fldCharType="begin"/>
          </w:r>
          <w:r>
            <w:instrText xml:space="preserve"> PAGEREF _Toc16475 \h </w:instrText>
          </w:r>
          <w:r>
            <w:fldChar w:fldCharType="separate"/>
          </w:r>
          <w:r>
            <w:t>339</w:t>
          </w:r>
          <w:r>
            <w:fldChar w:fldCharType="end"/>
          </w:r>
          <w:r>
            <w:fldChar w:fldCharType="end"/>
          </w:r>
        </w:p>
        <w:p>
          <w:pPr>
            <w:pStyle w:val="11"/>
            <w:tabs>
              <w:tab w:val="right" w:leader="dot" w:pos="8306"/>
            </w:tabs>
          </w:pPr>
          <w:r>
            <w:fldChar w:fldCharType="begin"/>
          </w:r>
          <w:r>
            <w:instrText xml:space="preserve"> HYPERLINK \l _Toc18468 </w:instrText>
          </w:r>
          <w:r>
            <w:fldChar w:fldCharType="separate"/>
          </w:r>
          <w:r>
            <w:rPr>
              <w:rFonts w:hint="eastAsia" w:cs="宋体" w:asciiTheme="majorEastAsia" w:hAnsiTheme="majorEastAsia" w:eastAsiaTheme="majorEastAsia"/>
              <w:bCs/>
            </w:rPr>
            <w:t>第四章流程管理</w:t>
          </w:r>
          <w:r>
            <w:tab/>
          </w:r>
          <w:r>
            <w:fldChar w:fldCharType="begin"/>
          </w:r>
          <w:r>
            <w:instrText xml:space="preserve"> PAGEREF _Toc18468 \h </w:instrText>
          </w:r>
          <w:r>
            <w:fldChar w:fldCharType="separate"/>
          </w:r>
          <w:r>
            <w:t>340</w:t>
          </w:r>
          <w:r>
            <w:fldChar w:fldCharType="end"/>
          </w:r>
          <w:r>
            <w:fldChar w:fldCharType="end"/>
          </w:r>
        </w:p>
        <w:p>
          <w:pPr>
            <w:pStyle w:val="11"/>
            <w:tabs>
              <w:tab w:val="right" w:leader="dot" w:pos="8306"/>
            </w:tabs>
          </w:pPr>
          <w:r>
            <w:fldChar w:fldCharType="begin"/>
          </w:r>
          <w:r>
            <w:instrText xml:space="preserve"> HYPERLINK \l _Toc16698 </w:instrText>
          </w:r>
          <w:r>
            <w:fldChar w:fldCharType="separate"/>
          </w:r>
          <w:r>
            <w:rPr>
              <w:rFonts w:hint="eastAsia" w:cs="宋体" w:asciiTheme="majorEastAsia" w:hAnsiTheme="majorEastAsia" w:eastAsiaTheme="majorEastAsia"/>
              <w:bCs/>
            </w:rPr>
            <w:t>第五章内控管理与信息披露</w:t>
          </w:r>
          <w:r>
            <w:tab/>
          </w:r>
          <w:r>
            <w:fldChar w:fldCharType="begin"/>
          </w:r>
          <w:r>
            <w:instrText xml:space="preserve"> PAGEREF _Toc16698 \h </w:instrText>
          </w:r>
          <w:r>
            <w:fldChar w:fldCharType="separate"/>
          </w:r>
          <w:r>
            <w:t>341</w:t>
          </w:r>
          <w:r>
            <w:fldChar w:fldCharType="end"/>
          </w:r>
          <w:r>
            <w:fldChar w:fldCharType="end"/>
          </w:r>
        </w:p>
        <w:p>
          <w:pPr>
            <w:pStyle w:val="11"/>
            <w:tabs>
              <w:tab w:val="right" w:leader="dot" w:pos="8306"/>
            </w:tabs>
          </w:pPr>
          <w:r>
            <w:fldChar w:fldCharType="begin"/>
          </w:r>
          <w:r>
            <w:instrText xml:space="preserve"> HYPERLINK \l _Toc13777 </w:instrText>
          </w:r>
          <w:r>
            <w:fldChar w:fldCharType="separate"/>
          </w:r>
          <w:r>
            <w:rPr>
              <w:rFonts w:hint="eastAsia" w:cs="宋体" w:asciiTheme="majorEastAsia" w:hAnsiTheme="majorEastAsia" w:eastAsiaTheme="majorEastAsia"/>
              <w:bCs/>
            </w:rPr>
            <w:t>第六章监督检查</w:t>
          </w:r>
          <w:r>
            <w:tab/>
          </w:r>
          <w:r>
            <w:fldChar w:fldCharType="begin"/>
          </w:r>
          <w:r>
            <w:instrText xml:space="preserve"> PAGEREF _Toc13777 \h </w:instrText>
          </w:r>
          <w:r>
            <w:fldChar w:fldCharType="separate"/>
          </w:r>
          <w:r>
            <w:t>341</w:t>
          </w:r>
          <w:r>
            <w:fldChar w:fldCharType="end"/>
          </w:r>
          <w:r>
            <w:fldChar w:fldCharType="end"/>
          </w:r>
        </w:p>
        <w:p>
          <w:pPr>
            <w:pStyle w:val="11"/>
            <w:tabs>
              <w:tab w:val="right" w:leader="dot" w:pos="8306"/>
            </w:tabs>
          </w:pPr>
          <w:r>
            <w:fldChar w:fldCharType="begin"/>
          </w:r>
          <w:r>
            <w:instrText xml:space="preserve"> HYPERLINK \l _Toc17653 </w:instrText>
          </w:r>
          <w:r>
            <w:fldChar w:fldCharType="separate"/>
          </w:r>
          <w:r>
            <w:rPr>
              <w:rFonts w:hint="eastAsia" w:cs="宋体" w:asciiTheme="majorEastAsia" w:hAnsiTheme="majorEastAsia" w:eastAsiaTheme="majorEastAsia"/>
              <w:bCs/>
            </w:rPr>
            <w:t>第七章附则</w:t>
          </w:r>
          <w:r>
            <w:tab/>
          </w:r>
          <w:r>
            <w:fldChar w:fldCharType="begin"/>
          </w:r>
          <w:r>
            <w:instrText xml:space="preserve"> PAGEREF _Toc17653 \h </w:instrText>
          </w:r>
          <w:r>
            <w:fldChar w:fldCharType="separate"/>
          </w:r>
          <w:r>
            <w:t>342</w:t>
          </w:r>
          <w:r>
            <w:fldChar w:fldCharType="end"/>
          </w:r>
          <w:r>
            <w:fldChar w:fldCharType="end"/>
          </w:r>
        </w:p>
        <w:p>
          <w:pPr>
            <w:pStyle w:val="11"/>
            <w:tabs>
              <w:tab w:val="right" w:leader="dot" w:pos="8306"/>
            </w:tabs>
          </w:pPr>
          <w:r>
            <w:fldChar w:fldCharType="begin"/>
          </w:r>
          <w:r>
            <w:instrText xml:space="preserve"> HYPERLINK \l _Toc27524 </w:instrText>
          </w:r>
          <w:r>
            <w:fldChar w:fldCharType="separate"/>
          </w:r>
          <w:r>
            <w:rPr>
              <w:rFonts w:cs="宋体" w:asciiTheme="majorEastAsia" w:hAnsiTheme="majorEastAsia" w:eastAsiaTheme="majorEastAsia"/>
              <w:bCs/>
              <w:szCs w:val="24"/>
              <w:lang w:val="en-US" w:eastAsia="zh-CN" w:bidi="ar-SA"/>
            </w:rPr>
            <w:t>50.</w:t>
          </w:r>
          <w:r>
            <w:rPr>
              <w:rFonts w:hint="eastAsia"/>
            </w:rPr>
            <w:t>《中国银监会办公厅关于加强银行承兑汇票业务监管的通知》</w:t>
          </w:r>
          <w:r>
            <w:tab/>
          </w:r>
          <w:r>
            <w:fldChar w:fldCharType="begin"/>
          </w:r>
          <w:r>
            <w:instrText xml:space="preserve"> PAGEREF _Toc27524 \h </w:instrText>
          </w:r>
          <w:r>
            <w:fldChar w:fldCharType="separate"/>
          </w:r>
          <w:r>
            <w:t>343</w:t>
          </w:r>
          <w:r>
            <w:fldChar w:fldCharType="end"/>
          </w:r>
          <w:r>
            <w:fldChar w:fldCharType="end"/>
          </w:r>
        </w:p>
        <w:p>
          <w:pPr>
            <w:pStyle w:val="11"/>
            <w:tabs>
              <w:tab w:val="right" w:leader="dot" w:pos="8306"/>
            </w:tabs>
          </w:pPr>
          <w:r>
            <w:fldChar w:fldCharType="begin"/>
          </w:r>
          <w:r>
            <w:instrText xml:space="preserve"> HYPERLINK \l _Toc27604 </w:instrText>
          </w:r>
          <w:r>
            <w:fldChar w:fldCharType="separate"/>
          </w:r>
          <w:r>
            <w:rPr>
              <w:rFonts w:cs="宋体" w:asciiTheme="majorEastAsia" w:hAnsiTheme="majorEastAsia" w:eastAsiaTheme="majorEastAsia"/>
              <w:bCs/>
              <w:szCs w:val="24"/>
              <w:lang w:val="en-US" w:eastAsia="zh-CN" w:bidi="ar-SA"/>
            </w:rPr>
            <w:t>51.</w:t>
          </w:r>
          <w:r>
            <w:rPr>
              <w:rFonts w:hint="eastAsia"/>
            </w:rPr>
            <w:t>《关于商业银行知识产权质押贷款业务的指导意见》</w:t>
          </w:r>
          <w:r>
            <w:tab/>
          </w:r>
          <w:r>
            <w:fldChar w:fldCharType="begin"/>
          </w:r>
          <w:r>
            <w:instrText xml:space="preserve"> PAGEREF _Toc27604 \h </w:instrText>
          </w:r>
          <w:r>
            <w:fldChar w:fldCharType="separate"/>
          </w:r>
          <w:r>
            <w:t>345</w:t>
          </w:r>
          <w:r>
            <w:fldChar w:fldCharType="end"/>
          </w:r>
          <w:r>
            <w:fldChar w:fldCharType="end"/>
          </w:r>
        </w:p>
        <w:p>
          <w:pPr>
            <w:pStyle w:val="11"/>
            <w:tabs>
              <w:tab w:val="right" w:leader="dot" w:pos="8306"/>
            </w:tabs>
          </w:pPr>
          <w:r>
            <w:fldChar w:fldCharType="begin"/>
          </w:r>
          <w:r>
            <w:instrText xml:space="preserve"> HYPERLINK \l _Toc32537 </w:instrText>
          </w:r>
          <w:r>
            <w:fldChar w:fldCharType="separate"/>
          </w:r>
          <w:r>
            <w:rPr>
              <w:rFonts w:cs="宋体" w:asciiTheme="majorEastAsia" w:hAnsiTheme="majorEastAsia" w:eastAsiaTheme="majorEastAsia"/>
              <w:bCs/>
              <w:szCs w:val="24"/>
              <w:lang w:val="en-US" w:eastAsia="zh-CN" w:bidi="ar-SA"/>
            </w:rPr>
            <w:t>52.</w:t>
          </w:r>
          <w:r>
            <w:rPr>
              <w:rFonts w:hint="eastAsia"/>
            </w:rPr>
            <w:t>《中国银监会办公厅关于绿色信贷工作的意见》</w:t>
          </w:r>
          <w:r>
            <w:tab/>
          </w:r>
          <w:r>
            <w:fldChar w:fldCharType="begin"/>
          </w:r>
          <w:r>
            <w:instrText xml:space="preserve"> PAGEREF _Toc32537 \h </w:instrText>
          </w:r>
          <w:r>
            <w:fldChar w:fldCharType="separate"/>
          </w:r>
          <w:r>
            <w:t>351</w:t>
          </w:r>
          <w:r>
            <w:fldChar w:fldCharType="end"/>
          </w:r>
          <w:r>
            <w:fldChar w:fldCharType="end"/>
          </w:r>
        </w:p>
        <w:p>
          <w:pPr>
            <w:pStyle w:val="11"/>
            <w:tabs>
              <w:tab w:val="right" w:leader="dot" w:pos="8306"/>
            </w:tabs>
          </w:pPr>
          <w:r>
            <w:fldChar w:fldCharType="begin"/>
          </w:r>
          <w:r>
            <w:instrText xml:space="preserve"> HYPERLINK \l _Toc30746 </w:instrText>
          </w:r>
          <w:r>
            <w:fldChar w:fldCharType="separate"/>
          </w:r>
          <w:r>
            <w:rPr>
              <w:rFonts w:cs="宋体" w:asciiTheme="majorEastAsia" w:hAnsiTheme="majorEastAsia" w:eastAsiaTheme="majorEastAsia"/>
              <w:bCs/>
              <w:szCs w:val="24"/>
              <w:lang w:val="en-US" w:eastAsia="zh-CN" w:bidi="ar-SA"/>
            </w:rPr>
            <w:t>53.</w:t>
          </w:r>
          <w:r>
            <w:rPr>
              <w:rFonts w:hint="eastAsia"/>
            </w:rPr>
            <w:t>《关于加强2013年地方政府融资平台贷款风险监管的指导意见》</w:t>
          </w:r>
          <w:r>
            <w:tab/>
          </w:r>
          <w:r>
            <w:fldChar w:fldCharType="begin"/>
          </w:r>
          <w:r>
            <w:instrText xml:space="preserve"> PAGEREF _Toc30746 \h </w:instrText>
          </w:r>
          <w:r>
            <w:fldChar w:fldCharType="separate"/>
          </w:r>
          <w:r>
            <w:t>354</w:t>
          </w:r>
          <w:r>
            <w:fldChar w:fldCharType="end"/>
          </w:r>
          <w:r>
            <w:fldChar w:fldCharType="end"/>
          </w:r>
        </w:p>
        <w:p>
          <w:pPr>
            <w:pStyle w:val="11"/>
            <w:tabs>
              <w:tab w:val="right" w:leader="dot" w:pos="8306"/>
            </w:tabs>
          </w:pPr>
          <w:r>
            <w:fldChar w:fldCharType="begin"/>
          </w:r>
          <w:r>
            <w:instrText xml:space="preserve"> HYPERLINK \l _Toc26198 </w:instrText>
          </w:r>
          <w:r>
            <w:fldChar w:fldCharType="separate"/>
          </w:r>
          <w:r>
            <w:rPr>
              <w:rFonts w:cs="宋体" w:asciiTheme="majorEastAsia" w:hAnsiTheme="majorEastAsia" w:eastAsiaTheme="majorEastAsia"/>
              <w:bCs/>
              <w:szCs w:val="24"/>
              <w:lang w:val="en-US" w:eastAsia="zh-CN" w:bidi="ar-SA"/>
            </w:rPr>
            <w:t>54.</w:t>
          </w:r>
          <w:r>
            <w:rPr>
              <w:rFonts w:hint="eastAsia"/>
            </w:rPr>
            <w:t>《报送绿色信贷统计表的通知》</w:t>
          </w:r>
          <w:r>
            <w:tab/>
          </w:r>
          <w:r>
            <w:fldChar w:fldCharType="begin"/>
          </w:r>
          <w:r>
            <w:instrText xml:space="preserve"> PAGEREF _Toc26198 \h </w:instrText>
          </w:r>
          <w:r>
            <w:fldChar w:fldCharType="separate"/>
          </w:r>
          <w:r>
            <w:t>360</w:t>
          </w:r>
          <w:r>
            <w:fldChar w:fldCharType="end"/>
          </w:r>
          <w:r>
            <w:fldChar w:fldCharType="end"/>
          </w:r>
        </w:p>
        <w:p>
          <w:pPr>
            <w:pStyle w:val="11"/>
            <w:tabs>
              <w:tab w:val="right" w:leader="dot" w:pos="8306"/>
            </w:tabs>
          </w:pPr>
          <w:r>
            <w:fldChar w:fldCharType="begin"/>
          </w:r>
          <w:r>
            <w:instrText xml:space="preserve"> HYPERLINK \l _Toc31450 </w:instrText>
          </w:r>
          <w:r>
            <w:fldChar w:fldCharType="separate"/>
          </w:r>
          <w:r>
            <w:rPr>
              <w:rFonts w:cs="宋体" w:asciiTheme="majorEastAsia" w:hAnsiTheme="majorEastAsia" w:eastAsiaTheme="majorEastAsia"/>
              <w:bCs/>
              <w:szCs w:val="24"/>
              <w:lang w:val="en-US" w:eastAsia="zh-CN" w:bidi="ar-SA"/>
            </w:rPr>
            <w:t>55.</w:t>
          </w:r>
          <w:r>
            <w:rPr>
              <w:rFonts w:hint="eastAsia"/>
            </w:rPr>
            <w:t>《中国人民银行关于进一步推进利率市场化改革的通知》</w:t>
          </w:r>
          <w:r>
            <w:tab/>
          </w:r>
          <w:r>
            <w:fldChar w:fldCharType="begin"/>
          </w:r>
          <w:r>
            <w:instrText xml:space="preserve"> PAGEREF _Toc31450 \h </w:instrText>
          </w:r>
          <w:r>
            <w:fldChar w:fldCharType="separate"/>
          </w:r>
          <w:r>
            <w:t>363</w:t>
          </w:r>
          <w:r>
            <w:fldChar w:fldCharType="end"/>
          </w:r>
          <w:r>
            <w:fldChar w:fldCharType="end"/>
          </w:r>
        </w:p>
        <w:p>
          <w:pPr>
            <w:pStyle w:val="11"/>
            <w:tabs>
              <w:tab w:val="right" w:leader="dot" w:pos="8306"/>
            </w:tabs>
          </w:pPr>
          <w:r>
            <w:fldChar w:fldCharType="begin"/>
          </w:r>
          <w:r>
            <w:instrText xml:space="preserve"> HYPERLINK \l _Toc7900 </w:instrText>
          </w:r>
          <w:r>
            <w:fldChar w:fldCharType="separate"/>
          </w:r>
          <w:r>
            <w:rPr>
              <w:rFonts w:cs="宋体" w:asciiTheme="majorEastAsia" w:hAnsiTheme="majorEastAsia" w:eastAsiaTheme="majorEastAsia"/>
              <w:bCs/>
              <w:szCs w:val="24"/>
              <w:lang w:val="en-US" w:eastAsia="zh-CN" w:bidi="ar-SA"/>
            </w:rPr>
            <w:t>56.</w:t>
          </w:r>
          <w:r>
            <w:rPr>
              <w:rFonts w:hint="eastAsia"/>
            </w:rPr>
            <w:t>《中国银监会关于加强银行保理融资业务管理的通知》</w:t>
          </w:r>
          <w:r>
            <w:tab/>
          </w:r>
          <w:r>
            <w:fldChar w:fldCharType="begin"/>
          </w:r>
          <w:r>
            <w:instrText xml:space="preserve"> PAGEREF _Toc7900 \h </w:instrText>
          </w:r>
          <w:r>
            <w:fldChar w:fldCharType="separate"/>
          </w:r>
          <w:r>
            <w:t>365</w:t>
          </w:r>
          <w:r>
            <w:fldChar w:fldCharType="end"/>
          </w:r>
          <w:r>
            <w:fldChar w:fldCharType="end"/>
          </w:r>
        </w:p>
        <w:p>
          <w:pPr>
            <w:pStyle w:val="11"/>
            <w:tabs>
              <w:tab w:val="right" w:leader="dot" w:pos="8306"/>
            </w:tabs>
          </w:pPr>
          <w:r>
            <w:fldChar w:fldCharType="begin"/>
          </w:r>
          <w:r>
            <w:instrText xml:space="preserve"> HYPERLINK \l _Toc20636 </w:instrText>
          </w:r>
          <w:r>
            <w:fldChar w:fldCharType="separate"/>
          </w:r>
          <w:r>
            <w:rPr>
              <w:rFonts w:cs="宋体" w:asciiTheme="majorEastAsia" w:hAnsiTheme="majorEastAsia" w:eastAsiaTheme="majorEastAsia"/>
              <w:bCs/>
              <w:szCs w:val="24"/>
              <w:lang w:val="en-US" w:eastAsia="zh-CN" w:bidi="ar-SA"/>
            </w:rPr>
            <w:t>57.</w:t>
          </w:r>
          <w:r>
            <w:rPr>
              <w:rFonts w:hint="eastAsia"/>
            </w:rPr>
            <w:t>《中国银行业监督管理委员会办公厅关于加强信贷管理严禁违规放贷的通知》</w:t>
          </w:r>
          <w:r>
            <w:tab/>
          </w:r>
          <w:r>
            <w:fldChar w:fldCharType="begin"/>
          </w:r>
          <w:r>
            <w:instrText xml:space="preserve"> PAGEREF _Toc20636 \h </w:instrText>
          </w:r>
          <w:r>
            <w:fldChar w:fldCharType="separate"/>
          </w:r>
          <w:r>
            <w:t>367</w:t>
          </w:r>
          <w:r>
            <w:fldChar w:fldCharType="end"/>
          </w:r>
          <w:r>
            <w:fldChar w:fldCharType="end"/>
          </w:r>
        </w:p>
        <w:p>
          <w:pPr>
            <w:pStyle w:val="11"/>
            <w:tabs>
              <w:tab w:val="right" w:leader="dot" w:pos="8306"/>
            </w:tabs>
          </w:pPr>
          <w:r>
            <w:fldChar w:fldCharType="begin"/>
          </w:r>
          <w:r>
            <w:instrText xml:space="preserve"> HYPERLINK \l _Toc23224 </w:instrText>
          </w:r>
          <w:r>
            <w:fldChar w:fldCharType="separate"/>
          </w:r>
          <w:r>
            <w:rPr>
              <w:rFonts w:cs="宋体" w:asciiTheme="majorEastAsia" w:hAnsiTheme="majorEastAsia" w:eastAsiaTheme="majorEastAsia"/>
              <w:bCs/>
              <w:szCs w:val="24"/>
              <w:lang w:val="en-US" w:eastAsia="zh-CN" w:bidi="ar-SA"/>
            </w:rPr>
            <w:t>58.</w:t>
          </w:r>
          <w:r>
            <w:rPr>
              <w:rFonts w:hint="eastAsia"/>
            </w:rPr>
            <w:t>《中国银监会办公厅关于支持产业结构调整和化解产能过剩的指导意见》</w:t>
          </w:r>
          <w:r>
            <w:tab/>
          </w:r>
          <w:r>
            <w:fldChar w:fldCharType="begin"/>
          </w:r>
          <w:r>
            <w:instrText xml:space="preserve"> PAGEREF _Toc23224 \h </w:instrText>
          </w:r>
          <w:r>
            <w:fldChar w:fldCharType="separate"/>
          </w:r>
          <w:r>
            <w:t>370</w:t>
          </w:r>
          <w:r>
            <w:fldChar w:fldCharType="end"/>
          </w:r>
          <w:r>
            <w:fldChar w:fldCharType="end"/>
          </w:r>
        </w:p>
        <w:p>
          <w:pPr>
            <w:pStyle w:val="11"/>
            <w:tabs>
              <w:tab w:val="right" w:pos="6800"/>
              <w:tab w:val="right" w:leader="dot" w:pos="8306"/>
            </w:tabs>
          </w:pPr>
          <w:r>
            <w:fldChar w:fldCharType="begin"/>
          </w:r>
          <w:r>
            <w:instrText xml:space="preserve"> HYPERLINK \l _Toc13374 </w:instrText>
          </w:r>
          <w:r>
            <w:fldChar w:fldCharType="separate"/>
          </w:r>
          <w:r>
            <w:rPr>
              <w:rFonts w:cs="宋体" w:asciiTheme="majorEastAsia" w:hAnsiTheme="majorEastAsia" w:eastAsiaTheme="majorEastAsia"/>
              <w:bCs/>
              <w:szCs w:val="24"/>
              <w:lang w:val="en-US" w:eastAsia="zh-CN" w:bidi="ar-SA"/>
            </w:rPr>
            <w:t>59.</w:t>
          </w:r>
          <w:r>
            <w:rPr>
              <w:rFonts w:hint="eastAsia"/>
            </w:rPr>
            <w:t>《绿色信贷实施情况关键评价指标》</w:t>
          </w:r>
          <w:r>
            <w:rPr>
              <w:rFonts w:hint="eastAsia"/>
            </w:rPr>
            <w:tab/>
          </w:r>
          <w:r>
            <w:rPr>
              <w:rFonts w:hint="eastAsia"/>
            </w:rPr>
            <w:t>Excel表格</w:t>
          </w:r>
          <w:r>
            <w:tab/>
          </w:r>
          <w:r>
            <w:fldChar w:fldCharType="begin"/>
          </w:r>
          <w:r>
            <w:instrText xml:space="preserve"> PAGEREF _Toc13374 \h </w:instrText>
          </w:r>
          <w:r>
            <w:fldChar w:fldCharType="separate"/>
          </w:r>
          <w:r>
            <w:t>376</w:t>
          </w:r>
          <w:r>
            <w:fldChar w:fldCharType="end"/>
          </w:r>
          <w:r>
            <w:fldChar w:fldCharType="end"/>
          </w:r>
        </w:p>
        <w:p>
          <w:pPr>
            <w:pStyle w:val="11"/>
            <w:tabs>
              <w:tab w:val="right" w:leader="dot" w:pos="8306"/>
            </w:tabs>
          </w:pPr>
          <w:r>
            <w:fldChar w:fldCharType="begin"/>
          </w:r>
          <w:r>
            <w:instrText xml:space="preserve"> HYPERLINK \l _Toc32333 </w:instrText>
          </w:r>
          <w:r>
            <w:fldChar w:fldCharType="separate"/>
          </w:r>
          <w:r>
            <w:rPr>
              <w:rFonts w:cs="宋体" w:asciiTheme="majorEastAsia" w:hAnsiTheme="majorEastAsia" w:eastAsiaTheme="majorEastAsia"/>
              <w:bCs/>
              <w:szCs w:val="24"/>
              <w:lang w:val="en-US" w:eastAsia="zh-CN" w:bidi="ar-SA"/>
            </w:rPr>
            <w:t>60.</w:t>
          </w:r>
          <w:r>
            <w:rPr>
              <w:rFonts w:hint="eastAsia"/>
            </w:rPr>
            <w:t>《中国银监会办公厅关于加强企业担保圈贷款风险防范和化解工作的通知》</w:t>
          </w:r>
          <w:r>
            <w:tab/>
          </w:r>
          <w:r>
            <w:fldChar w:fldCharType="begin"/>
          </w:r>
          <w:r>
            <w:instrText xml:space="preserve"> PAGEREF _Toc32333 \h </w:instrText>
          </w:r>
          <w:r>
            <w:fldChar w:fldCharType="separate"/>
          </w:r>
          <w:r>
            <w:t>391</w:t>
          </w:r>
          <w:r>
            <w:fldChar w:fldCharType="end"/>
          </w:r>
          <w:r>
            <w:fldChar w:fldCharType="end"/>
          </w:r>
        </w:p>
        <w:p>
          <w:pPr>
            <w:pStyle w:val="11"/>
            <w:tabs>
              <w:tab w:val="right" w:leader="dot" w:pos="8306"/>
            </w:tabs>
          </w:pPr>
          <w:r>
            <w:fldChar w:fldCharType="begin"/>
          </w:r>
          <w:r>
            <w:instrText xml:space="preserve"> HYPERLINK \l _Toc8617 </w:instrText>
          </w:r>
          <w:r>
            <w:fldChar w:fldCharType="separate"/>
          </w:r>
          <w:r>
            <w:rPr>
              <w:rFonts w:cs="宋体" w:asciiTheme="majorEastAsia" w:hAnsiTheme="majorEastAsia" w:eastAsiaTheme="majorEastAsia"/>
              <w:bCs/>
              <w:szCs w:val="24"/>
              <w:lang w:val="en-US" w:eastAsia="zh-CN" w:bidi="ar-SA"/>
            </w:rPr>
            <w:t>61.</w:t>
          </w:r>
          <w:r>
            <w:rPr>
              <w:rFonts w:hint="eastAsia"/>
            </w:rPr>
            <w:t>《关于信贷资产证券化备案登记工作流程的通知》</w:t>
          </w:r>
          <w:r>
            <w:tab/>
          </w:r>
          <w:r>
            <w:fldChar w:fldCharType="begin"/>
          </w:r>
          <w:r>
            <w:instrText xml:space="preserve"> PAGEREF _Toc8617 \h </w:instrText>
          </w:r>
          <w:r>
            <w:fldChar w:fldCharType="separate"/>
          </w:r>
          <w:r>
            <w:t>394</w:t>
          </w:r>
          <w:r>
            <w:fldChar w:fldCharType="end"/>
          </w:r>
          <w:r>
            <w:fldChar w:fldCharType="end"/>
          </w:r>
        </w:p>
        <w:p>
          <w:pPr>
            <w:pStyle w:val="11"/>
            <w:tabs>
              <w:tab w:val="right" w:leader="dot" w:pos="8306"/>
            </w:tabs>
          </w:pPr>
          <w:r>
            <w:fldChar w:fldCharType="begin"/>
          </w:r>
          <w:r>
            <w:instrText xml:space="preserve"> HYPERLINK \l _Toc25259 </w:instrText>
          </w:r>
          <w:r>
            <w:fldChar w:fldCharType="separate"/>
          </w:r>
          <w:r>
            <w:rPr>
              <w:rFonts w:cs="宋体" w:asciiTheme="majorEastAsia" w:hAnsiTheme="majorEastAsia" w:eastAsiaTheme="majorEastAsia"/>
              <w:bCs/>
              <w:szCs w:val="24"/>
              <w:lang w:val="en-US" w:eastAsia="zh-CN" w:bidi="ar-SA"/>
            </w:rPr>
            <w:t>62.</w:t>
          </w:r>
          <w:r>
            <w:rPr>
              <w:rFonts w:hint="eastAsia"/>
            </w:rPr>
            <w:t>《能效信贷指引》</w:t>
          </w:r>
          <w:r>
            <w:tab/>
          </w:r>
          <w:r>
            <w:fldChar w:fldCharType="begin"/>
          </w:r>
          <w:r>
            <w:instrText xml:space="preserve"> PAGEREF _Toc25259 \h </w:instrText>
          </w:r>
          <w:r>
            <w:fldChar w:fldCharType="separate"/>
          </w:r>
          <w:r>
            <w:t>398</w:t>
          </w:r>
          <w:r>
            <w:fldChar w:fldCharType="end"/>
          </w:r>
          <w:r>
            <w:fldChar w:fldCharType="end"/>
          </w:r>
        </w:p>
        <w:p>
          <w:pPr>
            <w:pStyle w:val="11"/>
            <w:tabs>
              <w:tab w:val="right" w:leader="dot" w:pos="8306"/>
            </w:tabs>
          </w:pPr>
          <w:r>
            <w:fldChar w:fldCharType="begin"/>
          </w:r>
          <w:r>
            <w:instrText xml:space="preserve"> HYPERLINK \l _Toc20303 </w:instrText>
          </w:r>
          <w:r>
            <w:fldChar w:fldCharType="separate"/>
          </w:r>
          <w:r>
            <w:rPr>
              <w:rFonts w:hint="eastAsia" w:cs="宋体" w:asciiTheme="majorEastAsia" w:hAnsiTheme="majorEastAsia" w:eastAsiaTheme="majorEastAsia"/>
            </w:rPr>
            <w:t>文号：银监发〔2015〕2号</w:t>
          </w:r>
          <w:r>
            <w:tab/>
          </w:r>
          <w:r>
            <w:fldChar w:fldCharType="begin"/>
          </w:r>
          <w:r>
            <w:instrText xml:space="preserve"> PAGEREF _Toc20303 \h </w:instrText>
          </w:r>
          <w:r>
            <w:fldChar w:fldCharType="separate"/>
          </w:r>
          <w:r>
            <w:t>398</w:t>
          </w:r>
          <w:r>
            <w:fldChar w:fldCharType="end"/>
          </w:r>
          <w:r>
            <w:fldChar w:fldCharType="end"/>
          </w:r>
        </w:p>
        <w:p>
          <w:pPr>
            <w:pStyle w:val="11"/>
            <w:tabs>
              <w:tab w:val="right" w:leader="dot" w:pos="8306"/>
            </w:tabs>
          </w:pPr>
          <w:r>
            <w:fldChar w:fldCharType="begin"/>
          </w:r>
          <w:r>
            <w:instrText xml:space="preserve"> HYPERLINK \l _Toc10135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_Toc10135 \h </w:instrText>
          </w:r>
          <w:r>
            <w:fldChar w:fldCharType="separate"/>
          </w:r>
          <w:r>
            <w:t>398</w:t>
          </w:r>
          <w:r>
            <w:fldChar w:fldCharType="end"/>
          </w:r>
          <w:r>
            <w:fldChar w:fldCharType="end"/>
          </w:r>
        </w:p>
        <w:p>
          <w:pPr>
            <w:pStyle w:val="11"/>
            <w:tabs>
              <w:tab w:val="right" w:leader="dot" w:pos="8306"/>
            </w:tabs>
          </w:pPr>
          <w:r>
            <w:fldChar w:fldCharType="begin"/>
          </w:r>
          <w:r>
            <w:instrText xml:space="preserve"> HYPERLINK \l _Toc31894 </w:instrText>
          </w:r>
          <w:r>
            <w:fldChar w:fldCharType="separate"/>
          </w:r>
          <w:r>
            <w:rPr>
              <w:rFonts w:hint="eastAsia" w:cs="宋体" w:asciiTheme="majorEastAsia" w:hAnsiTheme="majorEastAsia" w:eastAsiaTheme="majorEastAsia"/>
              <w:bCs/>
            </w:rPr>
            <w:t>第二章服务领域及重点项目</w:t>
          </w:r>
          <w:r>
            <w:tab/>
          </w:r>
          <w:r>
            <w:fldChar w:fldCharType="begin"/>
          </w:r>
          <w:r>
            <w:instrText xml:space="preserve"> PAGEREF _Toc31894 \h </w:instrText>
          </w:r>
          <w:r>
            <w:fldChar w:fldCharType="separate"/>
          </w:r>
          <w:r>
            <w:t>398</w:t>
          </w:r>
          <w:r>
            <w:fldChar w:fldCharType="end"/>
          </w:r>
          <w:r>
            <w:fldChar w:fldCharType="end"/>
          </w:r>
        </w:p>
        <w:p>
          <w:pPr>
            <w:pStyle w:val="11"/>
            <w:tabs>
              <w:tab w:val="right" w:leader="dot" w:pos="8306"/>
            </w:tabs>
          </w:pPr>
          <w:r>
            <w:fldChar w:fldCharType="begin"/>
          </w:r>
          <w:r>
            <w:instrText xml:space="preserve"> HYPERLINK \l _Toc31432 </w:instrText>
          </w:r>
          <w:r>
            <w:fldChar w:fldCharType="separate"/>
          </w:r>
          <w:r>
            <w:rPr>
              <w:rFonts w:hint="eastAsia" w:cs="宋体" w:asciiTheme="majorEastAsia" w:hAnsiTheme="majorEastAsia" w:eastAsiaTheme="majorEastAsia"/>
              <w:bCs/>
            </w:rPr>
            <w:t>第三章信贷方式与风险控制</w:t>
          </w:r>
          <w:r>
            <w:tab/>
          </w:r>
          <w:r>
            <w:fldChar w:fldCharType="begin"/>
          </w:r>
          <w:r>
            <w:instrText xml:space="preserve"> PAGEREF _Toc31432 \h </w:instrText>
          </w:r>
          <w:r>
            <w:fldChar w:fldCharType="separate"/>
          </w:r>
          <w:r>
            <w:t>400</w:t>
          </w:r>
          <w:r>
            <w:fldChar w:fldCharType="end"/>
          </w:r>
          <w:r>
            <w:fldChar w:fldCharType="end"/>
          </w:r>
        </w:p>
        <w:p>
          <w:pPr>
            <w:pStyle w:val="11"/>
            <w:tabs>
              <w:tab w:val="right" w:leader="dot" w:pos="8306"/>
            </w:tabs>
          </w:pPr>
          <w:r>
            <w:fldChar w:fldCharType="begin"/>
          </w:r>
          <w:r>
            <w:instrText xml:space="preserve"> HYPERLINK \l _Toc1174 </w:instrText>
          </w:r>
          <w:r>
            <w:fldChar w:fldCharType="separate"/>
          </w:r>
          <w:r>
            <w:rPr>
              <w:rFonts w:hint="eastAsia" w:cs="宋体" w:asciiTheme="majorEastAsia" w:hAnsiTheme="majorEastAsia" w:eastAsiaTheme="majorEastAsia"/>
              <w:bCs/>
            </w:rPr>
            <w:t>第四章金融创新与激励约束</w:t>
          </w:r>
          <w:r>
            <w:tab/>
          </w:r>
          <w:r>
            <w:fldChar w:fldCharType="begin"/>
          </w:r>
          <w:r>
            <w:instrText xml:space="preserve"> PAGEREF _Toc1174 \h </w:instrText>
          </w:r>
          <w:r>
            <w:fldChar w:fldCharType="separate"/>
          </w:r>
          <w:r>
            <w:t>404</w:t>
          </w:r>
          <w:r>
            <w:fldChar w:fldCharType="end"/>
          </w:r>
          <w:r>
            <w:fldChar w:fldCharType="end"/>
          </w:r>
        </w:p>
        <w:p>
          <w:pPr>
            <w:pStyle w:val="11"/>
            <w:tabs>
              <w:tab w:val="right" w:leader="dot" w:pos="8306"/>
            </w:tabs>
          </w:pPr>
          <w:r>
            <w:fldChar w:fldCharType="begin"/>
          </w:r>
          <w:r>
            <w:instrText xml:space="preserve"> HYPERLINK \l _Toc9772 </w:instrText>
          </w:r>
          <w:r>
            <w:fldChar w:fldCharType="separate"/>
          </w:r>
          <w:r>
            <w:rPr>
              <w:rFonts w:hint="eastAsia" w:cs="宋体" w:asciiTheme="majorEastAsia" w:hAnsiTheme="majorEastAsia" w:eastAsiaTheme="majorEastAsia"/>
              <w:bCs/>
            </w:rPr>
            <w:t>第五章附则</w:t>
          </w:r>
          <w:r>
            <w:tab/>
          </w:r>
          <w:r>
            <w:fldChar w:fldCharType="begin"/>
          </w:r>
          <w:r>
            <w:instrText xml:space="preserve"> PAGEREF _Toc9772 \h </w:instrText>
          </w:r>
          <w:r>
            <w:fldChar w:fldCharType="separate"/>
          </w:r>
          <w:r>
            <w:t>405</w:t>
          </w:r>
          <w:r>
            <w:fldChar w:fldCharType="end"/>
          </w:r>
          <w:r>
            <w:fldChar w:fldCharType="end"/>
          </w:r>
        </w:p>
        <w:p>
          <w:pPr>
            <w:pStyle w:val="11"/>
            <w:tabs>
              <w:tab w:val="right" w:leader="dot" w:pos="8306"/>
            </w:tabs>
          </w:pPr>
          <w:r>
            <w:fldChar w:fldCharType="begin"/>
          </w:r>
          <w:r>
            <w:instrText xml:space="preserve"> HYPERLINK \l _Toc1327 </w:instrText>
          </w:r>
          <w:r>
            <w:fldChar w:fldCharType="separate"/>
          </w:r>
          <w:r>
            <w:rPr>
              <w:rFonts w:cs="宋体" w:asciiTheme="majorEastAsia" w:hAnsiTheme="majorEastAsia" w:eastAsiaTheme="majorEastAsia"/>
              <w:bCs/>
              <w:szCs w:val="24"/>
              <w:lang w:val="en-US" w:eastAsia="zh-CN" w:bidi="ar-SA"/>
            </w:rPr>
            <w:t>63.</w:t>
          </w:r>
          <w:r>
            <w:rPr>
              <w:rFonts w:hint="eastAsia"/>
            </w:rPr>
            <w:t>《商业银行并购贷款风险管理指引》(2015修订)》</w:t>
          </w:r>
          <w:r>
            <w:tab/>
          </w:r>
          <w:r>
            <w:fldChar w:fldCharType="begin"/>
          </w:r>
          <w:r>
            <w:instrText xml:space="preserve"> PAGEREF _Toc1327 \h </w:instrText>
          </w:r>
          <w:r>
            <w:fldChar w:fldCharType="separate"/>
          </w:r>
          <w:r>
            <w:t>406</w:t>
          </w:r>
          <w:r>
            <w:fldChar w:fldCharType="end"/>
          </w:r>
          <w:r>
            <w:fldChar w:fldCharType="end"/>
          </w:r>
        </w:p>
        <w:p>
          <w:pPr>
            <w:pStyle w:val="11"/>
            <w:tabs>
              <w:tab w:val="right" w:leader="dot" w:pos="8306"/>
            </w:tabs>
          </w:pPr>
          <w:r>
            <w:fldChar w:fldCharType="begin"/>
          </w:r>
          <w:r>
            <w:instrText xml:space="preserve"> HYPERLINK \l _Toc21758 </w:instrText>
          </w:r>
          <w:r>
            <w:fldChar w:fldCharType="separate"/>
          </w:r>
          <w:r>
            <w:rPr>
              <w:rFonts w:hint="eastAsia" w:cs="宋体" w:asciiTheme="majorEastAsia" w:hAnsiTheme="majorEastAsia" w:eastAsiaTheme="majorEastAsia"/>
            </w:rPr>
            <w:t>发文机构：中国银行业监督管理委员会(已撤销)</w:t>
          </w:r>
          <w:r>
            <w:tab/>
          </w:r>
          <w:r>
            <w:fldChar w:fldCharType="begin"/>
          </w:r>
          <w:r>
            <w:instrText xml:space="preserve"> PAGEREF _Toc21758 \h </w:instrText>
          </w:r>
          <w:r>
            <w:fldChar w:fldCharType="separate"/>
          </w:r>
          <w:r>
            <w:t>406</w:t>
          </w:r>
          <w:r>
            <w:fldChar w:fldCharType="end"/>
          </w:r>
          <w:r>
            <w:fldChar w:fldCharType="end"/>
          </w:r>
        </w:p>
        <w:p>
          <w:pPr>
            <w:pStyle w:val="11"/>
            <w:tabs>
              <w:tab w:val="right" w:leader="dot" w:pos="8306"/>
            </w:tabs>
          </w:pPr>
          <w:r>
            <w:fldChar w:fldCharType="begin"/>
          </w:r>
          <w:r>
            <w:instrText xml:space="preserve"> HYPERLINK \l _Toc16729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_Toc16729 \h </w:instrText>
          </w:r>
          <w:r>
            <w:fldChar w:fldCharType="separate"/>
          </w:r>
          <w:r>
            <w:t>406</w:t>
          </w:r>
          <w:r>
            <w:fldChar w:fldCharType="end"/>
          </w:r>
          <w:r>
            <w:fldChar w:fldCharType="end"/>
          </w:r>
        </w:p>
        <w:p>
          <w:pPr>
            <w:pStyle w:val="11"/>
            <w:tabs>
              <w:tab w:val="right" w:leader="dot" w:pos="8306"/>
            </w:tabs>
          </w:pPr>
          <w:r>
            <w:fldChar w:fldCharType="begin"/>
          </w:r>
          <w:r>
            <w:instrText xml:space="preserve"> HYPERLINK \l _Toc22366 </w:instrText>
          </w:r>
          <w:r>
            <w:fldChar w:fldCharType="separate"/>
          </w:r>
          <w:r>
            <w:rPr>
              <w:rFonts w:hint="eastAsia" w:cs="宋体" w:asciiTheme="majorEastAsia" w:hAnsiTheme="majorEastAsia" w:eastAsiaTheme="majorEastAsia"/>
              <w:bCs/>
            </w:rPr>
            <w:t>第二章风险评估</w:t>
          </w:r>
          <w:r>
            <w:tab/>
          </w:r>
          <w:r>
            <w:fldChar w:fldCharType="begin"/>
          </w:r>
          <w:r>
            <w:instrText xml:space="preserve"> PAGEREF _Toc22366 \h </w:instrText>
          </w:r>
          <w:r>
            <w:fldChar w:fldCharType="separate"/>
          </w:r>
          <w:r>
            <w:t>407</w:t>
          </w:r>
          <w:r>
            <w:fldChar w:fldCharType="end"/>
          </w:r>
          <w:r>
            <w:fldChar w:fldCharType="end"/>
          </w:r>
        </w:p>
        <w:p>
          <w:pPr>
            <w:pStyle w:val="11"/>
            <w:tabs>
              <w:tab w:val="right" w:leader="dot" w:pos="8306"/>
            </w:tabs>
          </w:pPr>
          <w:r>
            <w:fldChar w:fldCharType="begin"/>
          </w:r>
          <w:r>
            <w:instrText xml:space="preserve"> HYPERLINK \l _Toc30913 </w:instrText>
          </w:r>
          <w:r>
            <w:fldChar w:fldCharType="separate"/>
          </w:r>
          <w:r>
            <w:rPr>
              <w:rFonts w:hint="eastAsia" w:cs="宋体" w:asciiTheme="majorEastAsia" w:hAnsiTheme="majorEastAsia" w:eastAsiaTheme="majorEastAsia"/>
              <w:bCs/>
            </w:rPr>
            <w:t>第三章风险管理</w:t>
          </w:r>
          <w:r>
            <w:tab/>
          </w:r>
          <w:r>
            <w:fldChar w:fldCharType="begin"/>
          </w:r>
          <w:r>
            <w:instrText xml:space="preserve"> PAGEREF _Toc30913 \h </w:instrText>
          </w:r>
          <w:r>
            <w:fldChar w:fldCharType="separate"/>
          </w:r>
          <w:r>
            <w:t>409</w:t>
          </w:r>
          <w:r>
            <w:fldChar w:fldCharType="end"/>
          </w:r>
          <w:r>
            <w:fldChar w:fldCharType="end"/>
          </w:r>
        </w:p>
        <w:p>
          <w:pPr>
            <w:pStyle w:val="11"/>
            <w:tabs>
              <w:tab w:val="right" w:leader="dot" w:pos="8306"/>
            </w:tabs>
          </w:pPr>
          <w:r>
            <w:fldChar w:fldCharType="begin"/>
          </w:r>
          <w:r>
            <w:instrText xml:space="preserve"> HYPERLINK \l _Toc19513 </w:instrText>
          </w:r>
          <w:r>
            <w:fldChar w:fldCharType="separate"/>
          </w:r>
          <w:r>
            <w:rPr>
              <w:rFonts w:hint="eastAsia" w:cs="宋体" w:asciiTheme="majorEastAsia" w:hAnsiTheme="majorEastAsia" w:eastAsiaTheme="majorEastAsia"/>
              <w:bCs/>
            </w:rPr>
            <w:t>第四章附则</w:t>
          </w:r>
          <w:r>
            <w:tab/>
          </w:r>
          <w:r>
            <w:fldChar w:fldCharType="begin"/>
          </w:r>
          <w:r>
            <w:instrText xml:space="preserve"> PAGEREF _Toc19513 \h </w:instrText>
          </w:r>
          <w:r>
            <w:fldChar w:fldCharType="separate"/>
          </w:r>
          <w:r>
            <w:t>413</w:t>
          </w:r>
          <w:r>
            <w:fldChar w:fldCharType="end"/>
          </w:r>
          <w:r>
            <w:fldChar w:fldCharType="end"/>
          </w:r>
        </w:p>
        <w:p>
          <w:pPr>
            <w:pStyle w:val="11"/>
            <w:tabs>
              <w:tab w:val="right" w:leader="dot" w:pos="8306"/>
            </w:tabs>
          </w:pPr>
          <w:r>
            <w:fldChar w:fldCharType="begin"/>
          </w:r>
          <w:r>
            <w:instrText xml:space="preserve"> HYPERLINK \l _Toc17695 </w:instrText>
          </w:r>
          <w:r>
            <w:fldChar w:fldCharType="separate"/>
          </w:r>
          <w:r>
            <w:rPr>
              <w:rFonts w:cs="宋体" w:asciiTheme="majorEastAsia" w:hAnsiTheme="majorEastAsia" w:eastAsiaTheme="majorEastAsia"/>
              <w:bCs/>
              <w:szCs w:val="24"/>
              <w:lang w:val="en-US" w:eastAsia="zh-CN" w:bidi="ar-SA"/>
            </w:rPr>
            <w:t>64.</w:t>
          </w:r>
          <w:r>
            <w:rPr>
              <w:rFonts w:hint="eastAsia"/>
            </w:rPr>
            <w:t>《关于妥善解决地方政府融资平台公司在建项目后续融资问题的意见》</w:t>
          </w:r>
          <w:r>
            <w:tab/>
          </w:r>
          <w:r>
            <w:fldChar w:fldCharType="begin"/>
          </w:r>
          <w:r>
            <w:instrText xml:space="preserve"> PAGEREF _Toc17695 \h </w:instrText>
          </w:r>
          <w:r>
            <w:fldChar w:fldCharType="separate"/>
          </w:r>
          <w:r>
            <w:t>415</w:t>
          </w:r>
          <w:r>
            <w:fldChar w:fldCharType="end"/>
          </w:r>
          <w:r>
            <w:fldChar w:fldCharType="end"/>
          </w:r>
        </w:p>
        <w:p>
          <w:pPr>
            <w:pStyle w:val="11"/>
            <w:tabs>
              <w:tab w:val="right" w:leader="dot" w:pos="8306"/>
            </w:tabs>
          </w:pPr>
          <w:r>
            <w:fldChar w:fldCharType="begin"/>
          </w:r>
          <w:r>
            <w:instrText xml:space="preserve"> HYPERLINK \l _Toc29172 </w:instrText>
          </w:r>
          <w:r>
            <w:fldChar w:fldCharType="separate"/>
          </w:r>
          <w:r>
            <w:rPr>
              <w:rFonts w:cs="宋体" w:asciiTheme="majorEastAsia" w:hAnsiTheme="majorEastAsia" w:eastAsiaTheme="majorEastAsia"/>
              <w:bCs/>
              <w:szCs w:val="24"/>
              <w:lang w:val="en-US" w:eastAsia="zh-CN" w:bidi="ar-SA"/>
            </w:rPr>
            <w:t>65.</w:t>
          </w:r>
          <w:r>
            <w:rPr>
              <w:rFonts w:hint="eastAsia"/>
            </w:rPr>
            <w:t>《中国银监会关于银行业进一步做好服务实体经济发展工作的指导意见》</w:t>
          </w:r>
          <w:r>
            <w:tab/>
          </w:r>
          <w:r>
            <w:fldChar w:fldCharType="begin"/>
          </w:r>
          <w:r>
            <w:instrText xml:space="preserve"> PAGEREF _Toc29172 \h </w:instrText>
          </w:r>
          <w:r>
            <w:fldChar w:fldCharType="separate"/>
          </w:r>
          <w:r>
            <w:t>418</w:t>
          </w:r>
          <w:r>
            <w:fldChar w:fldCharType="end"/>
          </w:r>
          <w:r>
            <w:fldChar w:fldCharType="end"/>
          </w:r>
        </w:p>
        <w:p>
          <w:pPr>
            <w:pStyle w:val="11"/>
            <w:tabs>
              <w:tab w:val="right" w:leader="dot" w:pos="8306"/>
            </w:tabs>
          </w:pPr>
          <w:r>
            <w:fldChar w:fldCharType="begin"/>
          </w:r>
          <w:r>
            <w:instrText xml:space="preserve"> HYPERLINK \l _Toc4239 </w:instrText>
          </w:r>
          <w:r>
            <w:fldChar w:fldCharType="separate"/>
          </w:r>
          <w:r>
            <w:rPr>
              <w:rFonts w:cs="宋体" w:asciiTheme="majorEastAsia" w:hAnsiTheme="majorEastAsia" w:eastAsiaTheme="majorEastAsia"/>
              <w:bCs/>
              <w:szCs w:val="24"/>
              <w:lang w:val="en-US" w:eastAsia="zh-CN" w:bidi="ar-SA"/>
            </w:rPr>
            <w:t>66.</w:t>
          </w:r>
          <w:r>
            <w:rPr>
              <w:rFonts w:hint="eastAsia"/>
            </w:rPr>
            <w:t>《中国银监会办公厅关于银行业信贷资产流转集中登记的通知》</w:t>
          </w:r>
          <w:r>
            <w:tab/>
          </w:r>
          <w:r>
            <w:fldChar w:fldCharType="begin"/>
          </w:r>
          <w:r>
            <w:instrText xml:space="preserve"> PAGEREF _Toc4239 \h </w:instrText>
          </w:r>
          <w:r>
            <w:fldChar w:fldCharType="separate"/>
          </w:r>
          <w:r>
            <w:t>424</w:t>
          </w:r>
          <w:r>
            <w:fldChar w:fldCharType="end"/>
          </w:r>
          <w:r>
            <w:fldChar w:fldCharType="end"/>
          </w:r>
        </w:p>
        <w:p>
          <w:pPr>
            <w:pStyle w:val="11"/>
            <w:tabs>
              <w:tab w:val="right" w:leader="dot" w:pos="8306"/>
            </w:tabs>
          </w:pPr>
          <w:r>
            <w:fldChar w:fldCharType="begin"/>
          </w:r>
          <w:r>
            <w:instrText xml:space="preserve"> HYPERLINK \l _Toc16990 </w:instrText>
          </w:r>
          <w:r>
            <w:fldChar w:fldCharType="separate"/>
          </w:r>
          <w:r>
            <w:rPr>
              <w:rFonts w:cs="宋体" w:asciiTheme="majorEastAsia" w:hAnsiTheme="majorEastAsia" w:eastAsiaTheme="majorEastAsia"/>
              <w:bCs/>
              <w:szCs w:val="24"/>
              <w:lang w:val="en-US" w:eastAsia="zh-CN" w:bidi="ar-SA"/>
            </w:rPr>
            <w:t>67.</w:t>
          </w:r>
          <w:r>
            <w:rPr>
              <w:rFonts w:hint="eastAsia"/>
            </w:rPr>
            <w:t>《中国银监会关于进一步落实小微企业金融服务监管政策的通知》</w:t>
          </w:r>
          <w:r>
            <w:tab/>
          </w:r>
          <w:r>
            <w:fldChar w:fldCharType="begin"/>
          </w:r>
          <w:r>
            <w:instrText xml:space="preserve"> PAGEREF _Toc16990 \h </w:instrText>
          </w:r>
          <w:r>
            <w:fldChar w:fldCharType="separate"/>
          </w:r>
          <w:r>
            <w:t>425</w:t>
          </w:r>
          <w:r>
            <w:fldChar w:fldCharType="end"/>
          </w:r>
          <w:r>
            <w:fldChar w:fldCharType="end"/>
          </w:r>
        </w:p>
        <w:p>
          <w:pPr>
            <w:pStyle w:val="11"/>
            <w:tabs>
              <w:tab w:val="right" w:leader="dot" w:pos="8306"/>
            </w:tabs>
          </w:pPr>
          <w:r>
            <w:fldChar w:fldCharType="begin"/>
          </w:r>
          <w:r>
            <w:instrText xml:space="preserve"> HYPERLINK \l _Toc19774 </w:instrText>
          </w:r>
          <w:r>
            <w:fldChar w:fldCharType="separate"/>
          </w:r>
          <w:r>
            <w:rPr>
              <w:rFonts w:cs="宋体" w:asciiTheme="majorEastAsia" w:hAnsiTheme="majorEastAsia" w:eastAsiaTheme="majorEastAsia"/>
              <w:bCs/>
              <w:szCs w:val="24"/>
              <w:lang w:val="en-US" w:eastAsia="zh-CN" w:bidi="ar-SA"/>
            </w:rPr>
            <w:t>68.</w:t>
          </w:r>
          <w:r>
            <w:rPr>
              <w:rFonts w:hint="eastAsia"/>
            </w:rPr>
            <w:t>《中国银监会、国家发展和改革委员会关于银行业支持重点领域重大工程建设的指导意见》</w:t>
          </w:r>
          <w:r>
            <w:tab/>
          </w:r>
          <w:r>
            <w:fldChar w:fldCharType="begin"/>
          </w:r>
          <w:r>
            <w:instrText xml:space="preserve"> PAGEREF _Toc19774 \h </w:instrText>
          </w:r>
          <w:r>
            <w:fldChar w:fldCharType="separate"/>
          </w:r>
          <w:r>
            <w:t>429</w:t>
          </w:r>
          <w:r>
            <w:fldChar w:fldCharType="end"/>
          </w:r>
          <w:r>
            <w:fldChar w:fldCharType="end"/>
          </w:r>
        </w:p>
        <w:p>
          <w:pPr>
            <w:pStyle w:val="11"/>
            <w:tabs>
              <w:tab w:val="right" w:leader="dot" w:pos="8306"/>
            </w:tabs>
          </w:pPr>
          <w:r>
            <w:fldChar w:fldCharType="begin"/>
          </w:r>
          <w:r>
            <w:instrText xml:space="preserve"> HYPERLINK \l _Toc12324 </w:instrText>
          </w:r>
          <w:r>
            <w:fldChar w:fldCharType="separate"/>
          </w:r>
          <w:r>
            <w:rPr>
              <w:rFonts w:cs="宋体" w:asciiTheme="majorEastAsia" w:hAnsiTheme="majorEastAsia" w:eastAsiaTheme="majorEastAsia"/>
              <w:bCs/>
              <w:szCs w:val="24"/>
              <w:lang w:val="en-US" w:eastAsia="zh-CN" w:bidi="ar-SA"/>
            </w:rPr>
            <w:t>69.</w:t>
          </w:r>
          <w:r>
            <w:rPr>
              <w:rFonts w:hint="eastAsia"/>
            </w:rPr>
            <w:t>《国务院办公厅关于促进金融租赁行业健康发展的指导意见》</w:t>
          </w:r>
          <w:r>
            <w:tab/>
          </w:r>
          <w:r>
            <w:fldChar w:fldCharType="begin"/>
          </w:r>
          <w:r>
            <w:instrText xml:space="preserve"> PAGEREF _Toc12324 \h </w:instrText>
          </w:r>
          <w:r>
            <w:fldChar w:fldCharType="separate"/>
          </w:r>
          <w:r>
            <w:t>433</w:t>
          </w:r>
          <w:r>
            <w:fldChar w:fldCharType="end"/>
          </w:r>
          <w:r>
            <w:fldChar w:fldCharType="end"/>
          </w:r>
        </w:p>
        <w:p>
          <w:pPr>
            <w:pStyle w:val="11"/>
            <w:tabs>
              <w:tab w:val="right" w:leader="dot" w:pos="8306"/>
            </w:tabs>
          </w:pPr>
          <w:r>
            <w:fldChar w:fldCharType="begin"/>
          </w:r>
          <w:r>
            <w:instrText xml:space="preserve"> HYPERLINK \l _Toc3985 </w:instrText>
          </w:r>
          <w:r>
            <w:fldChar w:fldCharType="separate"/>
          </w:r>
          <w:r>
            <w:rPr>
              <w:rFonts w:cs="宋体" w:asciiTheme="majorEastAsia" w:hAnsiTheme="majorEastAsia" w:eastAsiaTheme="majorEastAsia"/>
              <w:bCs/>
              <w:szCs w:val="24"/>
              <w:lang w:val="en-US" w:eastAsia="zh-CN" w:bidi="ar-SA"/>
            </w:rPr>
            <w:t>70.</w:t>
          </w:r>
          <w:r>
            <w:rPr>
              <w:rFonts w:hint="eastAsia"/>
            </w:rPr>
            <w:t>《国务院关于调整和完善固定资产投资项目资本金制度的通知》</w:t>
          </w:r>
          <w:r>
            <w:tab/>
          </w:r>
          <w:r>
            <w:fldChar w:fldCharType="begin"/>
          </w:r>
          <w:r>
            <w:instrText xml:space="preserve"> PAGEREF _Toc3985 \h </w:instrText>
          </w:r>
          <w:r>
            <w:fldChar w:fldCharType="separate"/>
          </w:r>
          <w:r>
            <w:t>437</w:t>
          </w:r>
          <w:r>
            <w:fldChar w:fldCharType="end"/>
          </w:r>
          <w:r>
            <w:fldChar w:fldCharType="end"/>
          </w:r>
        </w:p>
        <w:p>
          <w:pPr>
            <w:pStyle w:val="11"/>
            <w:tabs>
              <w:tab w:val="right" w:leader="dot" w:pos="8306"/>
            </w:tabs>
          </w:pPr>
          <w:r>
            <w:fldChar w:fldCharType="begin"/>
          </w:r>
          <w:r>
            <w:instrText xml:space="preserve"> HYPERLINK \l _Toc24791 </w:instrText>
          </w:r>
          <w:r>
            <w:fldChar w:fldCharType="separate"/>
          </w:r>
          <w:r>
            <w:rPr>
              <w:rFonts w:cs="宋体" w:asciiTheme="majorEastAsia" w:hAnsiTheme="majorEastAsia" w:eastAsiaTheme="majorEastAsia"/>
              <w:bCs/>
              <w:szCs w:val="24"/>
              <w:lang w:val="en-US" w:eastAsia="zh-CN" w:bidi="ar-SA"/>
            </w:rPr>
            <w:t>71.</w:t>
          </w:r>
          <w:r>
            <w:rPr>
              <w:rFonts w:hint="eastAsia"/>
            </w:rPr>
            <w:t>《中国人民银行关于下调金融机构人民币贷款和存款基准利率并进一步推进利率市场化改革的通知》</w:t>
          </w:r>
          <w:r>
            <w:tab/>
          </w:r>
          <w:r>
            <w:fldChar w:fldCharType="begin"/>
          </w:r>
          <w:r>
            <w:instrText xml:space="preserve"> PAGEREF _Toc24791 \h </w:instrText>
          </w:r>
          <w:r>
            <w:fldChar w:fldCharType="separate"/>
          </w:r>
          <w:r>
            <w:t>439</w:t>
          </w:r>
          <w:r>
            <w:fldChar w:fldCharType="end"/>
          </w:r>
          <w:r>
            <w:fldChar w:fldCharType="end"/>
          </w:r>
        </w:p>
        <w:p>
          <w:pPr>
            <w:pStyle w:val="11"/>
            <w:tabs>
              <w:tab w:val="right" w:leader="dot" w:pos="8306"/>
            </w:tabs>
          </w:pPr>
          <w:r>
            <w:fldChar w:fldCharType="begin"/>
          </w:r>
          <w:r>
            <w:instrText xml:space="preserve"> HYPERLINK \l _Toc18066 </w:instrText>
          </w:r>
          <w:r>
            <w:fldChar w:fldCharType="separate"/>
          </w:r>
          <w:r>
            <w:rPr>
              <w:rFonts w:cs="宋体" w:asciiTheme="majorEastAsia" w:hAnsiTheme="majorEastAsia" w:eastAsiaTheme="majorEastAsia"/>
              <w:bCs/>
              <w:szCs w:val="24"/>
              <w:lang w:val="en-US" w:eastAsia="zh-CN" w:bidi="ar-SA"/>
            </w:rPr>
            <w:t>72.</w:t>
          </w:r>
          <w:r>
            <w:rPr>
              <w:rFonts w:hint="eastAsia"/>
            </w:rPr>
            <w:t>《中国银监会办公厅关于集团客户授信风险提示的通知》</w:t>
          </w:r>
          <w:r>
            <w:tab/>
          </w:r>
          <w:r>
            <w:fldChar w:fldCharType="begin"/>
          </w:r>
          <w:r>
            <w:instrText xml:space="preserve"> PAGEREF _Toc18066 \h </w:instrText>
          </w:r>
          <w:r>
            <w:fldChar w:fldCharType="separate"/>
          </w:r>
          <w:r>
            <w:t>441</w:t>
          </w:r>
          <w:r>
            <w:fldChar w:fldCharType="end"/>
          </w:r>
          <w:r>
            <w:fldChar w:fldCharType="end"/>
          </w:r>
        </w:p>
        <w:p>
          <w:pPr>
            <w:pStyle w:val="11"/>
            <w:tabs>
              <w:tab w:val="right" w:leader="dot" w:pos="8306"/>
            </w:tabs>
          </w:pPr>
          <w:r>
            <w:fldChar w:fldCharType="begin"/>
          </w:r>
          <w:r>
            <w:instrText xml:space="preserve"> HYPERLINK \l _Toc20527 </w:instrText>
          </w:r>
          <w:r>
            <w:fldChar w:fldCharType="separate"/>
          </w:r>
          <w:r>
            <w:rPr>
              <w:rFonts w:cs="宋体" w:asciiTheme="majorEastAsia" w:hAnsiTheme="majorEastAsia" w:eastAsiaTheme="majorEastAsia"/>
              <w:bCs/>
              <w:szCs w:val="24"/>
              <w:lang w:val="en-US" w:eastAsia="zh-CN" w:bidi="ar-SA"/>
            </w:rPr>
            <w:t>73.</w:t>
          </w:r>
          <w:r>
            <w:rPr>
              <w:rFonts w:hint="eastAsia"/>
            </w:rPr>
            <w:t>《普惠金融发展规划（2016-2020年）》</w:t>
          </w:r>
          <w:r>
            <w:tab/>
          </w:r>
          <w:r>
            <w:fldChar w:fldCharType="begin"/>
          </w:r>
          <w:r>
            <w:instrText xml:space="preserve"> PAGEREF _Toc20527 \h </w:instrText>
          </w:r>
          <w:r>
            <w:fldChar w:fldCharType="separate"/>
          </w:r>
          <w:r>
            <w:t>443</w:t>
          </w:r>
          <w:r>
            <w:fldChar w:fldCharType="end"/>
          </w:r>
          <w:r>
            <w:fldChar w:fldCharType="end"/>
          </w:r>
        </w:p>
        <w:p>
          <w:pPr>
            <w:pStyle w:val="11"/>
            <w:tabs>
              <w:tab w:val="right" w:leader="dot" w:pos="8306"/>
            </w:tabs>
          </w:pPr>
          <w:r>
            <w:fldChar w:fldCharType="begin"/>
          </w:r>
          <w:r>
            <w:instrText xml:space="preserve"> HYPERLINK \l _Toc27804 </w:instrText>
          </w:r>
          <w:r>
            <w:fldChar w:fldCharType="separate"/>
          </w:r>
          <w:r>
            <w:rPr>
              <w:rFonts w:cs="宋体" w:asciiTheme="majorEastAsia" w:hAnsiTheme="majorEastAsia" w:eastAsiaTheme="majorEastAsia"/>
              <w:bCs/>
              <w:szCs w:val="24"/>
              <w:lang w:val="en-US" w:eastAsia="zh-CN" w:bidi="ar-SA"/>
            </w:rPr>
            <w:t>74.</w:t>
          </w:r>
          <w:r>
            <w:rPr>
              <w:rFonts w:hint="eastAsia"/>
            </w:rPr>
            <w:t>《关于融资担保机构支持重大工程建设的指导意见》</w:t>
          </w:r>
          <w:r>
            <w:tab/>
          </w:r>
          <w:r>
            <w:fldChar w:fldCharType="begin"/>
          </w:r>
          <w:r>
            <w:instrText xml:space="preserve"> PAGEREF _Toc27804 \h </w:instrText>
          </w:r>
          <w:r>
            <w:fldChar w:fldCharType="separate"/>
          </w:r>
          <w:r>
            <w:t>454</w:t>
          </w:r>
          <w:r>
            <w:fldChar w:fldCharType="end"/>
          </w:r>
          <w:r>
            <w:fldChar w:fldCharType="end"/>
          </w:r>
        </w:p>
        <w:p>
          <w:pPr>
            <w:pStyle w:val="11"/>
            <w:tabs>
              <w:tab w:val="right" w:leader="dot" w:pos="8306"/>
            </w:tabs>
          </w:pPr>
          <w:r>
            <w:fldChar w:fldCharType="begin"/>
          </w:r>
          <w:r>
            <w:instrText xml:space="preserve"> HYPERLINK \l _Toc28282 </w:instrText>
          </w:r>
          <w:r>
            <w:fldChar w:fldCharType="separate"/>
          </w:r>
          <w:r>
            <w:rPr>
              <w:rFonts w:cs="宋体" w:asciiTheme="majorEastAsia" w:hAnsiTheme="majorEastAsia" w:eastAsiaTheme="majorEastAsia"/>
              <w:bCs/>
              <w:szCs w:val="24"/>
              <w:lang w:val="en-US" w:eastAsia="zh-CN" w:bidi="ar-SA"/>
            </w:rPr>
            <w:t>75.</w:t>
          </w:r>
          <w:r>
            <w:rPr>
              <w:rFonts w:hint="eastAsia"/>
            </w:rPr>
            <w:t>《中国银监会办公厅关于2016年推进普惠金融发展工作的指导意见》</w:t>
          </w:r>
          <w:r>
            <w:tab/>
          </w:r>
          <w:r>
            <w:fldChar w:fldCharType="begin"/>
          </w:r>
          <w:r>
            <w:instrText xml:space="preserve"> PAGEREF _Toc28282 \h </w:instrText>
          </w:r>
          <w:r>
            <w:fldChar w:fldCharType="separate"/>
          </w:r>
          <w:r>
            <w:t>457</w:t>
          </w:r>
          <w:r>
            <w:fldChar w:fldCharType="end"/>
          </w:r>
          <w:r>
            <w:fldChar w:fldCharType="end"/>
          </w:r>
        </w:p>
        <w:p>
          <w:pPr>
            <w:pStyle w:val="11"/>
            <w:tabs>
              <w:tab w:val="right" w:leader="dot" w:pos="8306"/>
            </w:tabs>
          </w:pPr>
          <w:r>
            <w:fldChar w:fldCharType="begin"/>
          </w:r>
          <w:r>
            <w:instrText xml:space="preserve"> HYPERLINK \l _Toc6818 </w:instrText>
          </w:r>
          <w:r>
            <w:fldChar w:fldCharType="separate"/>
          </w:r>
          <w:r>
            <w:rPr>
              <w:rFonts w:cs="宋体" w:asciiTheme="majorEastAsia" w:hAnsiTheme="majorEastAsia" w:eastAsiaTheme="majorEastAsia"/>
              <w:bCs/>
              <w:szCs w:val="24"/>
              <w:lang w:val="en-US" w:eastAsia="zh-CN" w:bidi="ar-SA"/>
            </w:rPr>
            <w:t>76.</w:t>
          </w:r>
          <w:r>
            <w:rPr>
              <w:rFonts w:hint="eastAsia"/>
            </w:rPr>
            <w:t>《关于金融支持工业稳增长调结构增效益的若干意见》</w:t>
          </w:r>
          <w:r>
            <w:tab/>
          </w:r>
          <w:r>
            <w:fldChar w:fldCharType="begin"/>
          </w:r>
          <w:r>
            <w:instrText xml:space="preserve"> PAGEREF _Toc6818 \h </w:instrText>
          </w:r>
          <w:r>
            <w:fldChar w:fldCharType="separate"/>
          </w:r>
          <w:r>
            <w:t>463</w:t>
          </w:r>
          <w:r>
            <w:fldChar w:fldCharType="end"/>
          </w:r>
          <w:r>
            <w:fldChar w:fldCharType="end"/>
          </w:r>
        </w:p>
        <w:p>
          <w:pPr>
            <w:pStyle w:val="11"/>
            <w:tabs>
              <w:tab w:val="right" w:leader="dot" w:pos="8306"/>
            </w:tabs>
          </w:pPr>
          <w:r>
            <w:fldChar w:fldCharType="begin"/>
          </w:r>
          <w:r>
            <w:instrText xml:space="preserve"> HYPERLINK \l _Toc6990 </w:instrText>
          </w:r>
          <w:r>
            <w:fldChar w:fldCharType="separate"/>
          </w:r>
          <w:r>
            <w:rPr>
              <w:rFonts w:cs="宋体" w:asciiTheme="majorEastAsia" w:hAnsiTheme="majorEastAsia" w:eastAsiaTheme="majorEastAsia"/>
              <w:bCs/>
              <w:szCs w:val="24"/>
              <w:lang w:val="en-US" w:eastAsia="zh-CN" w:bidi="ar-SA"/>
            </w:rPr>
            <w:t>77.</w:t>
          </w:r>
          <w:r>
            <w:rPr>
              <w:rFonts w:hint="eastAsia"/>
            </w:rPr>
            <w:t>《银监会、科技部、中国人民银行关于支持银行业金融机构加大创新力度开展科创企业投贷联动试点的指导意见》</w:t>
          </w:r>
          <w:r>
            <w:tab/>
          </w:r>
          <w:r>
            <w:fldChar w:fldCharType="begin"/>
          </w:r>
          <w:r>
            <w:instrText xml:space="preserve"> PAGEREF _Toc6990 \h </w:instrText>
          </w:r>
          <w:r>
            <w:fldChar w:fldCharType="separate"/>
          </w:r>
          <w:r>
            <w:t>469</w:t>
          </w:r>
          <w:r>
            <w:fldChar w:fldCharType="end"/>
          </w:r>
          <w:r>
            <w:fldChar w:fldCharType="end"/>
          </w:r>
        </w:p>
        <w:p>
          <w:pPr>
            <w:pStyle w:val="11"/>
            <w:tabs>
              <w:tab w:val="right" w:leader="dot" w:pos="8306"/>
            </w:tabs>
          </w:pPr>
          <w:r>
            <w:fldChar w:fldCharType="begin"/>
          </w:r>
          <w:r>
            <w:instrText xml:space="preserve"> HYPERLINK \l _Toc31374 </w:instrText>
          </w:r>
          <w:r>
            <w:fldChar w:fldCharType="separate"/>
          </w:r>
          <w:r>
            <w:rPr>
              <w:rFonts w:cs="宋体" w:asciiTheme="majorEastAsia" w:hAnsiTheme="majorEastAsia" w:eastAsiaTheme="majorEastAsia"/>
              <w:bCs/>
              <w:szCs w:val="24"/>
              <w:lang w:val="en-US" w:eastAsia="zh-CN" w:bidi="ar-SA"/>
            </w:rPr>
            <w:t>78.</w:t>
          </w:r>
          <w:r>
            <w:rPr>
              <w:rFonts w:hint="eastAsia"/>
            </w:rPr>
            <w:t>《中国银监会办公厅关于规范银行业金融机构信贷资产收益权转让业务的通知》</w:t>
          </w:r>
          <w:r>
            <w:tab/>
          </w:r>
          <w:r>
            <w:fldChar w:fldCharType="begin"/>
          </w:r>
          <w:r>
            <w:instrText xml:space="preserve"> PAGEREF _Toc31374 \h </w:instrText>
          </w:r>
          <w:r>
            <w:fldChar w:fldCharType="separate"/>
          </w:r>
          <w:r>
            <w:t>476</w:t>
          </w:r>
          <w:r>
            <w:fldChar w:fldCharType="end"/>
          </w:r>
          <w:r>
            <w:fldChar w:fldCharType="end"/>
          </w:r>
        </w:p>
        <w:p>
          <w:pPr>
            <w:pStyle w:val="11"/>
            <w:tabs>
              <w:tab w:val="right" w:leader="dot" w:pos="8306"/>
            </w:tabs>
          </w:pPr>
          <w:r>
            <w:fldChar w:fldCharType="begin"/>
          </w:r>
          <w:r>
            <w:instrText xml:space="preserve"> HYPERLINK \l _Toc9974 </w:instrText>
          </w:r>
          <w:r>
            <w:fldChar w:fldCharType="separate"/>
          </w:r>
          <w:r>
            <w:rPr>
              <w:rFonts w:cs="宋体" w:asciiTheme="majorEastAsia" w:hAnsiTheme="majorEastAsia" w:eastAsiaTheme="majorEastAsia"/>
              <w:bCs/>
              <w:szCs w:val="24"/>
              <w:lang w:val="en-US" w:eastAsia="zh-CN" w:bidi="ar-SA"/>
            </w:rPr>
            <w:t>79.</w:t>
          </w:r>
          <w:r>
            <w:rPr>
              <w:rFonts w:hint="eastAsia"/>
            </w:rPr>
            <w:t>《中国人民银行、中国银行业监督管理委员会关于加强票据业务监管促进票据市场健康发展的通知》</w:t>
          </w:r>
          <w:r>
            <w:tab/>
          </w:r>
          <w:r>
            <w:fldChar w:fldCharType="begin"/>
          </w:r>
          <w:r>
            <w:instrText xml:space="preserve"> PAGEREF _Toc9974 \h </w:instrText>
          </w:r>
          <w:r>
            <w:fldChar w:fldCharType="separate"/>
          </w:r>
          <w:r>
            <w:t>479</w:t>
          </w:r>
          <w:r>
            <w:fldChar w:fldCharType="end"/>
          </w:r>
          <w:r>
            <w:fldChar w:fldCharType="end"/>
          </w:r>
        </w:p>
        <w:p>
          <w:pPr>
            <w:pStyle w:val="11"/>
            <w:tabs>
              <w:tab w:val="right" w:leader="dot" w:pos="8306"/>
            </w:tabs>
          </w:pPr>
          <w:r>
            <w:fldChar w:fldCharType="begin"/>
          </w:r>
          <w:r>
            <w:instrText xml:space="preserve"> HYPERLINK \l _Toc14711 </w:instrText>
          </w:r>
          <w:r>
            <w:fldChar w:fldCharType="separate"/>
          </w:r>
          <w:r>
            <w:rPr>
              <w:rFonts w:cs="宋体" w:asciiTheme="majorEastAsia" w:hAnsiTheme="majorEastAsia" w:eastAsiaTheme="majorEastAsia"/>
              <w:bCs/>
              <w:szCs w:val="24"/>
              <w:lang w:val="en-US" w:eastAsia="zh-CN" w:bidi="ar-SA"/>
            </w:rPr>
            <w:t>80.</w:t>
          </w:r>
          <w:r>
            <w:rPr>
              <w:rFonts w:hint="eastAsia"/>
            </w:rPr>
            <w:t>《中国银监会办公厅关于做好银行业金融机构债权人委员会有关工作的通知》</w:t>
          </w:r>
          <w:r>
            <w:tab/>
          </w:r>
          <w:r>
            <w:fldChar w:fldCharType="begin"/>
          </w:r>
          <w:r>
            <w:instrText xml:space="preserve"> PAGEREF _Toc14711 \h </w:instrText>
          </w:r>
          <w:r>
            <w:fldChar w:fldCharType="separate"/>
          </w:r>
          <w:r>
            <w:t>484</w:t>
          </w:r>
          <w:r>
            <w:fldChar w:fldCharType="end"/>
          </w:r>
          <w:r>
            <w:fldChar w:fldCharType="end"/>
          </w:r>
        </w:p>
        <w:p>
          <w:pPr>
            <w:pStyle w:val="11"/>
            <w:tabs>
              <w:tab w:val="right" w:leader="dot" w:pos="8306"/>
            </w:tabs>
          </w:pPr>
          <w:r>
            <w:fldChar w:fldCharType="begin"/>
          </w:r>
          <w:r>
            <w:instrText xml:space="preserve"> HYPERLINK \l _Toc6203 </w:instrText>
          </w:r>
          <w:r>
            <w:fldChar w:fldCharType="separate"/>
          </w:r>
          <w:r>
            <w:rPr>
              <w:rFonts w:cs="宋体" w:asciiTheme="majorEastAsia" w:hAnsiTheme="majorEastAsia" w:eastAsiaTheme="majorEastAsia"/>
              <w:bCs/>
              <w:szCs w:val="24"/>
              <w:lang w:val="en-US" w:eastAsia="zh-CN" w:bidi="ar-SA"/>
            </w:rPr>
            <w:t>81.</w:t>
          </w:r>
          <w:r>
            <w:rPr>
              <w:rFonts w:hint="eastAsia"/>
            </w:rPr>
            <w:t>《中国人民银行关于规范和促进电子商业汇票业务发展的通知》</w:t>
          </w:r>
          <w:r>
            <w:tab/>
          </w:r>
          <w:r>
            <w:fldChar w:fldCharType="begin"/>
          </w:r>
          <w:r>
            <w:instrText xml:space="preserve"> PAGEREF _Toc6203 \h </w:instrText>
          </w:r>
          <w:r>
            <w:fldChar w:fldCharType="separate"/>
          </w:r>
          <w:r>
            <w:t>487</w:t>
          </w:r>
          <w:r>
            <w:fldChar w:fldCharType="end"/>
          </w:r>
          <w:r>
            <w:fldChar w:fldCharType="end"/>
          </w:r>
        </w:p>
        <w:p>
          <w:pPr>
            <w:pStyle w:val="11"/>
            <w:tabs>
              <w:tab w:val="right" w:leader="dot" w:pos="8306"/>
            </w:tabs>
          </w:pPr>
          <w:r>
            <w:fldChar w:fldCharType="begin"/>
          </w:r>
          <w:r>
            <w:instrText xml:space="preserve"> HYPERLINK \l _Toc24780 </w:instrText>
          </w:r>
          <w:r>
            <w:fldChar w:fldCharType="separate"/>
          </w:r>
          <w:r>
            <w:rPr>
              <w:rFonts w:cs="宋体" w:asciiTheme="majorEastAsia" w:hAnsiTheme="majorEastAsia" w:eastAsiaTheme="majorEastAsia"/>
              <w:bCs/>
              <w:szCs w:val="24"/>
              <w:lang w:val="en-US" w:eastAsia="zh-CN" w:bidi="ar-SA"/>
            </w:rPr>
            <w:t>82.</w:t>
          </w:r>
          <w:r>
            <w:rPr>
              <w:rFonts w:hint="eastAsia"/>
            </w:rPr>
            <w:t>《构建绿色金融体系的指导意见》</w:t>
          </w:r>
          <w:r>
            <w:tab/>
          </w:r>
          <w:r>
            <w:fldChar w:fldCharType="begin"/>
          </w:r>
          <w:r>
            <w:instrText xml:space="preserve"> PAGEREF _Toc24780 \h </w:instrText>
          </w:r>
          <w:r>
            <w:fldChar w:fldCharType="separate"/>
          </w:r>
          <w:r>
            <w:t>493</w:t>
          </w:r>
          <w:r>
            <w:fldChar w:fldCharType="end"/>
          </w:r>
          <w:r>
            <w:fldChar w:fldCharType="end"/>
          </w:r>
        </w:p>
        <w:p>
          <w:pPr>
            <w:pStyle w:val="11"/>
            <w:tabs>
              <w:tab w:val="right" w:leader="dot" w:pos="8306"/>
            </w:tabs>
          </w:pPr>
          <w:r>
            <w:fldChar w:fldCharType="begin"/>
          </w:r>
          <w:r>
            <w:instrText xml:space="preserve"> HYPERLINK \l _Toc8561 </w:instrText>
          </w:r>
          <w:r>
            <w:fldChar w:fldCharType="separate"/>
          </w:r>
          <w:r>
            <w:rPr>
              <w:rFonts w:cs="宋体" w:asciiTheme="majorEastAsia" w:hAnsiTheme="majorEastAsia" w:eastAsiaTheme="majorEastAsia"/>
              <w:bCs/>
              <w:szCs w:val="24"/>
              <w:lang w:val="en-US" w:eastAsia="zh-CN" w:bidi="ar-SA"/>
            </w:rPr>
            <w:t>83.</w:t>
          </w:r>
          <w:r>
            <w:rPr>
              <w:rFonts w:hint="eastAsia"/>
            </w:rPr>
            <w:t>《企业征信机构备案管理办法》</w:t>
          </w:r>
          <w:r>
            <w:tab/>
          </w:r>
          <w:r>
            <w:fldChar w:fldCharType="begin"/>
          </w:r>
          <w:r>
            <w:instrText xml:space="preserve"> PAGEREF _Toc8561 \h </w:instrText>
          </w:r>
          <w:r>
            <w:fldChar w:fldCharType="separate"/>
          </w:r>
          <w:r>
            <w:t>500</w:t>
          </w:r>
          <w:r>
            <w:fldChar w:fldCharType="end"/>
          </w:r>
          <w:r>
            <w:fldChar w:fldCharType="end"/>
          </w:r>
        </w:p>
        <w:p>
          <w:pPr>
            <w:pStyle w:val="11"/>
            <w:tabs>
              <w:tab w:val="right" w:leader="dot" w:pos="8306"/>
            </w:tabs>
          </w:pPr>
          <w:r>
            <w:fldChar w:fldCharType="begin"/>
          </w:r>
          <w:r>
            <w:instrText xml:space="preserve"> HYPERLINK \l _Toc30122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_Toc30122 \h </w:instrText>
          </w:r>
          <w:r>
            <w:fldChar w:fldCharType="separate"/>
          </w:r>
          <w:r>
            <w:t>500</w:t>
          </w:r>
          <w:r>
            <w:fldChar w:fldCharType="end"/>
          </w:r>
          <w:r>
            <w:fldChar w:fldCharType="end"/>
          </w:r>
        </w:p>
        <w:p>
          <w:pPr>
            <w:pStyle w:val="11"/>
            <w:tabs>
              <w:tab w:val="right" w:leader="dot" w:pos="8306"/>
            </w:tabs>
          </w:pPr>
          <w:r>
            <w:fldChar w:fldCharType="begin"/>
          </w:r>
          <w:r>
            <w:instrText xml:space="preserve"> HYPERLINK \l _Toc18162 </w:instrText>
          </w:r>
          <w:r>
            <w:fldChar w:fldCharType="separate"/>
          </w:r>
          <w:r>
            <w:rPr>
              <w:rFonts w:hint="eastAsia" w:cs="宋体" w:asciiTheme="majorEastAsia" w:hAnsiTheme="majorEastAsia" w:eastAsiaTheme="majorEastAsia"/>
              <w:bCs/>
            </w:rPr>
            <w:t>第二章备案的受理</w:t>
          </w:r>
          <w:r>
            <w:tab/>
          </w:r>
          <w:r>
            <w:fldChar w:fldCharType="begin"/>
          </w:r>
          <w:r>
            <w:instrText xml:space="preserve"> PAGEREF _Toc18162 \h </w:instrText>
          </w:r>
          <w:r>
            <w:fldChar w:fldCharType="separate"/>
          </w:r>
          <w:r>
            <w:t>500</w:t>
          </w:r>
          <w:r>
            <w:fldChar w:fldCharType="end"/>
          </w:r>
          <w:r>
            <w:fldChar w:fldCharType="end"/>
          </w:r>
        </w:p>
        <w:p>
          <w:pPr>
            <w:pStyle w:val="11"/>
            <w:tabs>
              <w:tab w:val="right" w:leader="dot" w:pos="8306"/>
            </w:tabs>
          </w:pPr>
          <w:r>
            <w:fldChar w:fldCharType="begin"/>
          </w:r>
          <w:r>
            <w:instrText xml:space="preserve"> HYPERLINK \l _Toc30702 </w:instrText>
          </w:r>
          <w:r>
            <w:fldChar w:fldCharType="separate"/>
          </w:r>
          <w:r>
            <w:rPr>
              <w:rFonts w:hint="eastAsia" w:cs="宋体" w:asciiTheme="majorEastAsia" w:hAnsiTheme="majorEastAsia" w:eastAsiaTheme="majorEastAsia"/>
              <w:bCs/>
            </w:rPr>
            <w:t>第三章备案的审核</w:t>
          </w:r>
          <w:r>
            <w:tab/>
          </w:r>
          <w:r>
            <w:fldChar w:fldCharType="begin"/>
          </w:r>
          <w:r>
            <w:instrText xml:space="preserve"> PAGEREF _Toc30702 \h </w:instrText>
          </w:r>
          <w:r>
            <w:fldChar w:fldCharType="separate"/>
          </w:r>
          <w:r>
            <w:t>501</w:t>
          </w:r>
          <w:r>
            <w:fldChar w:fldCharType="end"/>
          </w:r>
          <w:r>
            <w:fldChar w:fldCharType="end"/>
          </w:r>
        </w:p>
        <w:p>
          <w:pPr>
            <w:pStyle w:val="11"/>
            <w:tabs>
              <w:tab w:val="right" w:leader="dot" w:pos="8306"/>
            </w:tabs>
          </w:pPr>
          <w:r>
            <w:fldChar w:fldCharType="begin"/>
          </w:r>
          <w:r>
            <w:instrText xml:space="preserve"> HYPERLINK \l _Toc2671 </w:instrText>
          </w:r>
          <w:r>
            <w:fldChar w:fldCharType="separate"/>
          </w:r>
          <w:r>
            <w:rPr>
              <w:rFonts w:hint="eastAsia" w:cs="宋体" w:asciiTheme="majorEastAsia" w:hAnsiTheme="majorEastAsia" w:eastAsiaTheme="majorEastAsia"/>
              <w:bCs/>
            </w:rPr>
            <w:t>第四章备案的管理</w:t>
          </w:r>
          <w:r>
            <w:tab/>
          </w:r>
          <w:r>
            <w:fldChar w:fldCharType="begin"/>
          </w:r>
          <w:r>
            <w:instrText xml:space="preserve"> PAGEREF _Toc2671 \h </w:instrText>
          </w:r>
          <w:r>
            <w:fldChar w:fldCharType="separate"/>
          </w:r>
          <w:r>
            <w:t>502</w:t>
          </w:r>
          <w:r>
            <w:fldChar w:fldCharType="end"/>
          </w:r>
          <w:r>
            <w:fldChar w:fldCharType="end"/>
          </w:r>
        </w:p>
        <w:p>
          <w:pPr>
            <w:pStyle w:val="11"/>
            <w:tabs>
              <w:tab w:val="right" w:leader="dot" w:pos="8306"/>
            </w:tabs>
          </w:pPr>
          <w:r>
            <w:fldChar w:fldCharType="begin"/>
          </w:r>
          <w:r>
            <w:instrText xml:space="preserve"> HYPERLINK \l _Toc26305 </w:instrText>
          </w:r>
          <w:r>
            <w:fldChar w:fldCharType="separate"/>
          </w:r>
          <w:r>
            <w:rPr>
              <w:rFonts w:hint="eastAsia" w:cs="宋体" w:asciiTheme="majorEastAsia" w:hAnsiTheme="majorEastAsia" w:eastAsiaTheme="majorEastAsia"/>
              <w:bCs/>
            </w:rPr>
            <w:t>第五章附则</w:t>
          </w:r>
          <w:r>
            <w:tab/>
          </w:r>
          <w:r>
            <w:fldChar w:fldCharType="begin"/>
          </w:r>
          <w:r>
            <w:instrText xml:space="preserve"> PAGEREF _Toc26305 \h </w:instrText>
          </w:r>
          <w:r>
            <w:fldChar w:fldCharType="separate"/>
          </w:r>
          <w:r>
            <w:t>503</w:t>
          </w:r>
          <w:r>
            <w:fldChar w:fldCharType="end"/>
          </w:r>
          <w:r>
            <w:fldChar w:fldCharType="end"/>
          </w:r>
        </w:p>
        <w:p>
          <w:pPr>
            <w:pStyle w:val="11"/>
            <w:tabs>
              <w:tab w:val="right" w:leader="dot" w:pos="8306"/>
            </w:tabs>
          </w:pPr>
          <w:r>
            <w:fldChar w:fldCharType="begin"/>
          </w:r>
          <w:r>
            <w:instrText xml:space="preserve"> HYPERLINK \l _Toc18873 </w:instrText>
          </w:r>
          <w:r>
            <w:fldChar w:fldCharType="separate"/>
          </w:r>
          <w:r>
            <w:rPr>
              <w:rFonts w:cs="宋体" w:asciiTheme="majorEastAsia" w:hAnsiTheme="majorEastAsia" w:eastAsiaTheme="majorEastAsia"/>
              <w:bCs/>
              <w:szCs w:val="24"/>
              <w:lang w:val="en-US" w:eastAsia="zh-CN" w:bidi="ar-SA"/>
            </w:rPr>
            <w:t>84.</w:t>
          </w:r>
          <w:r>
            <w:rPr>
              <w:rFonts w:hint="eastAsia"/>
            </w:rPr>
            <w:t>《中国人民银行关于加强征信合规管理工作的通知》</w:t>
          </w:r>
          <w:r>
            <w:tab/>
          </w:r>
          <w:r>
            <w:fldChar w:fldCharType="begin"/>
          </w:r>
          <w:r>
            <w:instrText xml:space="preserve"> PAGEREF _Toc18873 \h </w:instrText>
          </w:r>
          <w:r>
            <w:fldChar w:fldCharType="separate"/>
          </w:r>
          <w:r>
            <w:t>505</w:t>
          </w:r>
          <w:r>
            <w:fldChar w:fldCharType="end"/>
          </w:r>
          <w:r>
            <w:fldChar w:fldCharType="end"/>
          </w:r>
        </w:p>
        <w:p>
          <w:pPr>
            <w:pStyle w:val="11"/>
            <w:tabs>
              <w:tab w:val="right" w:leader="dot" w:pos="8306"/>
            </w:tabs>
          </w:pPr>
          <w:r>
            <w:fldChar w:fldCharType="begin"/>
          </w:r>
          <w:r>
            <w:instrText xml:space="preserve"> HYPERLINK \l _Toc24248 </w:instrText>
          </w:r>
          <w:r>
            <w:fldChar w:fldCharType="separate"/>
          </w:r>
          <w:r>
            <w:rPr>
              <w:rFonts w:cs="宋体" w:asciiTheme="majorEastAsia" w:hAnsiTheme="majorEastAsia" w:eastAsiaTheme="majorEastAsia"/>
              <w:bCs/>
              <w:szCs w:val="24"/>
              <w:lang w:val="en-US" w:eastAsia="zh-CN" w:bidi="ar-SA"/>
            </w:rPr>
            <w:t>85.</w:t>
          </w:r>
          <w:r>
            <w:rPr>
              <w:rFonts w:hint="eastAsia"/>
            </w:rPr>
            <w:t>《中国银监会办公厅关于稳步开展企业集团财务公司延伸产业链金融服务试点工作有关事项的通知》</w:t>
          </w:r>
          <w:r>
            <w:tab/>
          </w:r>
          <w:r>
            <w:fldChar w:fldCharType="begin"/>
          </w:r>
          <w:r>
            <w:instrText xml:space="preserve"> PAGEREF _Toc24248 \h </w:instrText>
          </w:r>
          <w:r>
            <w:fldChar w:fldCharType="separate"/>
          </w:r>
          <w:r>
            <w:t>509</w:t>
          </w:r>
          <w:r>
            <w:fldChar w:fldCharType="end"/>
          </w:r>
          <w:r>
            <w:fldChar w:fldCharType="end"/>
          </w:r>
        </w:p>
        <w:p>
          <w:pPr>
            <w:pStyle w:val="11"/>
            <w:tabs>
              <w:tab w:val="right" w:leader="dot" w:pos="8306"/>
            </w:tabs>
          </w:pPr>
          <w:r>
            <w:fldChar w:fldCharType="begin"/>
          </w:r>
          <w:r>
            <w:instrText xml:space="preserve"> HYPERLINK \l _Toc13558 </w:instrText>
          </w:r>
          <w:r>
            <w:fldChar w:fldCharType="separate"/>
          </w:r>
          <w:r>
            <w:rPr>
              <w:rFonts w:cs="宋体" w:asciiTheme="majorEastAsia" w:hAnsiTheme="majorEastAsia" w:eastAsiaTheme="majorEastAsia"/>
              <w:bCs/>
              <w:szCs w:val="24"/>
              <w:lang w:val="en-US" w:eastAsia="zh-CN" w:bidi="ar-SA"/>
            </w:rPr>
            <w:t>86.</w:t>
          </w:r>
          <w:r>
            <w:rPr>
              <w:rFonts w:hint="eastAsia"/>
            </w:rPr>
            <w:t>《中国银监会、发展改革委、工业和信息化部关于钢铁煤炭行业化解过剩产能金融债权债务问题的若干意见》</w:t>
          </w:r>
          <w:r>
            <w:tab/>
          </w:r>
          <w:r>
            <w:fldChar w:fldCharType="begin"/>
          </w:r>
          <w:r>
            <w:instrText xml:space="preserve"> PAGEREF _Toc13558 \h </w:instrText>
          </w:r>
          <w:r>
            <w:fldChar w:fldCharType="separate"/>
          </w:r>
          <w:r>
            <w:t>512</w:t>
          </w:r>
          <w:r>
            <w:fldChar w:fldCharType="end"/>
          </w:r>
          <w:r>
            <w:fldChar w:fldCharType="end"/>
          </w:r>
        </w:p>
        <w:p>
          <w:pPr>
            <w:pStyle w:val="11"/>
            <w:tabs>
              <w:tab w:val="right" w:leader="dot" w:pos="8306"/>
            </w:tabs>
          </w:pPr>
          <w:r>
            <w:fldChar w:fldCharType="begin"/>
          </w:r>
          <w:r>
            <w:instrText xml:space="preserve"> HYPERLINK \l _Toc17852 </w:instrText>
          </w:r>
          <w:r>
            <w:fldChar w:fldCharType="separate"/>
          </w:r>
          <w:r>
            <w:rPr>
              <w:rFonts w:cs="宋体" w:asciiTheme="majorEastAsia" w:hAnsiTheme="majorEastAsia" w:eastAsiaTheme="majorEastAsia"/>
              <w:bCs/>
              <w:szCs w:val="24"/>
              <w:lang w:val="en-US" w:eastAsia="zh-CN" w:bidi="ar-SA"/>
            </w:rPr>
            <w:t>87.</w:t>
          </w:r>
          <w:r>
            <w:rPr>
              <w:rFonts w:hint="eastAsia"/>
            </w:rPr>
            <w:t>《中国银监会关于进一步加强商业银行小微企业授信尽职免责工作的通知》</w:t>
          </w:r>
          <w:r>
            <w:tab/>
          </w:r>
          <w:r>
            <w:fldChar w:fldCharType="begin"/>
          </w:r>
          <w:r>
            <w:instrText xml:space="preserve"> PAGEREF _Toc17852 \h </w:instrText>
          </w:r>
          <w:r>
            <w:fldChar w:fldCharType="separate"/>
          </w:r>
          <w:r>
            <w:t>516</w:t>
          </w:r>
          <w:r>
            <w:fldChar w:fldCharType="end"/>
          </w:r>
          <w:r>
            <w:fldChar w:fldCharType="end"/>
          </w:r>
        </w:p>
        <w:p>
          <w:pPr>
            <w:pStyle w:val="11"/>
            <w:tabs>
              <w:tab w:val="right" w:leader="dot" w:pos="8306"/>
            </w:tabs>
          </w:pPr>
          <w:r>
            <w:fldChar w:fldCharType="begin"/>
          </w:r>
          <w:r>
            <w:instrText xml:space="preserve"> HYPERLINK \l _Toc8030 </w:instrText>
          </w:r>
          <w:r>
            <w:fldChar w:fldCharType="separate"/>
          </w:r>
          <w:r>
            <w:rPr>
              <w:rFonts w:cs="宋体" w:asciiTheme="majorEastAsia" w:hAnsiTheme="majorEastAsia" w:eastAsiaTheme="majorEastAsia"/>
              <w:bCs/>
              <w:szCs w:val="24"/>
              <w:lang w:val="en-US" w:eastAsia="zh-CN" w:bidi="ar-SA"/>
            </w:rPr>
            <w:t>88.</w:t>
          </w:r>
          <w:r>
            <w:rPr>
              <w:rFonts w:hint="eastAsia"/>
            </w:rPr>
            <w:t>《中国人民银行、财政部、商务部、银监会、证监会、保监会关于金融支持服务贸易发展的指导意见》</w:t>
          </w:r>
          <w:r>
            <w:tab/>
          </w:r>
          <w:r>
            <w:fldChar w:fldCharType="begin"/>
          </w:r>
          <w:r>
            <w:instrText xml:space="preserve"> PAGEREF _Toc8030 \h </w:instrText>
          </w:r>
          <w:r>
            <w:fldChar w:fldCharType="separate"/>
          </w:r>
          <w:r>
            <w:t>522</w:t>
          </w:r>
          <w:r>
            <w:fldChar w:fldCharType="end"/>
          </w:r>
          <w:r>
            <w:fldChar w:fldCharType="end"/>
          </w:r>
        </w:p>
        <w:p>
          <w:pPr>
            <w:pStyle w:val="11"/>
            <w:tabs>
              <w:tab w:val="right" w:leader="dot" w:pos="8306"/>
            </w:tabs>
          </w:pPr>
          <w:r>
            <w:fldChar w:fldCharType="begin"/>
          </w:r>
          <w:r>
            <w:instrText xml:space="preserve"> HYPERLINK \l _Toc23372 </w:instrText>
          </w:r>
          <w:r>
            <w:fldChar w:fldCharType="separate"/>
          </w:r>
          <w:r>
            <w:rPr>
              <w:rFonts w:cs="宋体" w:asciiTheme="majorEastAsia" w:hAnsiTheme="majorEastAsia" w:eastAsiaTheme="majorEastAsia"/>
              <w:bCs/>
              <w:szCs w:val="24"/>
              <w:lang w:val="en-US" w:eastAsia="zh-CN" w:bidi="ar-SA"/>
            </w:rPr>
            <w:t>89.</w:t>
          </w:r>
          <w:r>
            <w:rPr>
              <w:rFonts w:hint="eastAsia"/>
            </w:rPr>
            <w:t>《上海票据交易所纸质商业汇票业务操作规程》</w:t>
          </w:r>
          <w:r>
            <w:tab/>
          </w:r>
          <w:r>
            <w:fldChar w:fldCharType="begin"/>
          </w:r>
          <w:r>
            <w:instrText xml:space="preserve"> PAGEREF _Toc23372 \h </w:instrText>
          </w:r>
          <w:r>
            <w:fldChar w:fldCharType="separate"/>
          </w:r>
          <w:r>
            <w:t>525</w:t>
          </w:r>
          <w:r>
            <w:fldChar w:fldCharType="end"/>
          </w:r>
          <w:r>
            <w:fldChar w:fldCharType="end"/>
          </w:r>
        </w:p>
        <w:p>
          <w:pPr>
            <w:pStyle w:val="11"/>
            <w:tabs>
              <w:tab w:val="right" w:pos="5200"/>
              <w:tab w:val="right" w:leader="dot" w:pos="8306"/>
            </w:tabs>
          </w:pPr>
          <w:r>
            <w:fldChar w:fldCharType="begin"/>
          </w:r>
          <w:r>
            <w:instrText xml:space="preserve"> HYPERLINK \l _Toc18160 </w:instrText>
          </w:r>
          <w:r>
            <w:fldChar w:fldCharType="separate"/>
          </w:r>
          <w:r>
            <w:rPr>
              <w:rFonts w:hint="eastAsia" w:cs="宋体" w:asciiTheme="majorEastAsia" w:hAnsiTheme="majorEastAsia" w:eastAsiaTheme="majorEastAsia"/>
            </w:rPr>
            <w:t>发文机构：上海票据交易所</w:t>
          </w:r>
          <w:r>
            <w:rPr>
              <w:rFonts w:hint="eastAsia" w:cs="宋体" w:asciiTheme="majorEastAsia" w:hAnsiTheme="majorEastAsia" w:eastAsiaTheme="majorEastAsia"/>
            </w:rPr>
            <w:tab/>
          </w:r>
          <w:r>
            <w:rPr>
              <w:rFonts w:hint="eastAsia" w:cs="宋体" w:asciiTheme="majorEastAsia" w:hAnsiTheme="majorEastAsia" w:eastAsiaTheme="majorEastAsia"/>
            </w:rPr>
            <w:t>文号：票交所发〔2017〕17号</w:t>
          </w:r>
          <w:r>
            <w:tab/>
          </w:r>
          <w:r>
            <w:fldChar w:fldCharType="begin"/>
          </w:r>
          <w:r>
            <w:instrText xml:space="preserve"> PAGEREF _Toc18160 \h </w:instrText>
          </w:r>
          <w:r>
            <w:fldChar w:fldCharType="separate"/>
          </w:r>
          <w:r>
            <w:t>525</w:t>
          </w:r>
          <w:r>
            <w:fldChar w:fldCharType="end"/>
          </w:r>
          <w:r>
            <w:fldChar w:fldCharType="end"/>
          </w:r>
        </w:p>
        <w:p>
          <w:pPr>
            <w:pStyle w:val="11"/>
            <w:tabs>
              <w:tab w:val="right" w:leader="dot" w:pos="8306"/>
            </w:tabs>
          </w:pPr>
          <w:r>
            <w:fldChar w:fldCharType="begin"/>
          </w:r>
          <w:r>
            <w:instrText xml:space="preserve"> HYPERLINK \l _Toc30698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_Toc30698 \h </w:instrText>
          </w:r>
          <w:r>
            <w:fldChar w:fldCharType="separate"/>
          </w:r>
          <w:r>
            <w:t>525</w:t>
          </w:r>
          <w:r>
            <w:fldChar w:fldCharType="end"/>
          </w:r>
          <w:r>
            <w:fldChar w:fldCharType="end"/>
          </w:r>
        </w:p>
        <w:p>
          <w:pPr>
            <w:pStyle w:val="11"/>
            <w:tabs>
              <w:tab w:val="right" w:leader="dot" w:pos="8306"/>
            </w:tabs>
          </w:pPr>
          <w:r>
            <w:fldChar w:fldCharType="begin"/>
          </w:r>
          <w:r>
            <w:instrText xml:space="preserve"> HYPERLINK \l _Toc21184 </w:instrText>
          </w:r>
          <w:r>
            <w:fldChar w:fldCharType="separate"/>
          </w:r>
          <w:r>
            <w:rPr>
              <w:rFonts w:hint="eastAsia" w:cs="宋体" w:asciiTheme="majorEastAsia" w:hAnsiTheme="majorEastAsia" w:eastAsiaTheme="majorEastAsia"/>
              <w:bCs/>
            </w:rPr>
            <w:t>第二章一般规定</w:t>
          </w:r>
          <w:r>
            <w:tab/>
          </w:r>
          <w:r>
            <w:fldChar w:fldCharType="begin"/>
          </w:r>
          <w:r>
            <w:instrText xml:space="preserve"> PAGEREF _Toc21184 \h </w:instrText>
          </w:r>
          <w:r>
            <w:fldChar w:fldCharType="separate"/>
          </w:r>
          <w:r>
            <w:t>525</w:t>
          </w:r>
          <w:r>
            <w:fldChar w:fldCharType="end"/>
          </w:r>
          <w:r>
            <w:fldChar w:fldCharType="end"/>
          </w:r>
        </w:p>
        <w:p>
          <w:pPr>
            <w:pStyle w:val="11"/>
            <w:tabs>
              <w:tab w:val="right" w:leader="dot" w:pos="8306"/>
            </w:tabs>
          </w:pPr>
          <w:r>
            <w:fldChar w:fldCharType="begin"/>
          </w:r>
          <w:r>
            <w:instrText xml:space="preserve"> HYPERLINK \l _Toc23711 </w:instrText>
          </w:r>
          <w:r>
            <w:fldChar w:fldCharType="separate"/>
          </w:r>
          <w:r>
            <w:rPr>
              <w:rFonts w:hint="eastAsia" w:cs="宋体" w:asciiTheme="majorEastAsia" w:hAnsiTheme="majorEastAsia" w:eastAsiaTheme="majorEastAsia"/>
              <w:bCs/>
            </w:rPr>
            <w:t>第四章未贴现票据的质押和保证信息登记</w:t>
          </w:r>
          <w:r>
            <w:tab/>
          </w:r>
          <w:r>
            <w:fldChar w:fldCharType="begin"/>
          </w:r>
          <w:r>
            <w:instrText xml:space="preserve"> PAGEREF _Toc23711 \h </w:instrText>
          </w:r>
          <w:r>
            <w:fldChar w:fldCharType="separate"/>
          </w:r>
          <w:r>
            <w:t>528</w:t>
          </w:r>
          <w:r>
            <w:fldChar w:fldCharType="end"/>
          </w:r>
          <w:r>
            <w:fldChar w:fldCharType="end"/>
          </w:r>
        </w:p>
        <w:p>
          <w:pPr>
            <w:pStyle w:val="11"/>
            <w:tabs>
              <w:tab w:val="right" w:leader="dot" w:pos="8306"/>
            </w:tabs>
          </w:pPr>
          <w:r>
            <w:fldChar w:fldCharType="begin"/>
          </w:r>
          <w:r>
            <w:instrText xml:space="preserve"> HYPERLINK \l _Toc1232 </w:instrText>
          </w:r>
          <w:r>
            <w:fldChar w:fldCharType="separate"/>
          </w:r>
          <w:r>
            <w:rPr>
              <w:rFonts w:hint="eastAsia" w:cs="宋体" w:asciiTheme="majorEastAsia" w:hAnsiTheme="majorEastAsia" w:eastAsiaTheme="majorEastAsia"/>
              <w:bCs/>
            </w:rPr>
            <w:t>第五章贴现信息登记</w:t>
          </w:r>
          <w:r>
            <w:tab/>
          </w:r>
          <w:r>
            <w:fldChar w:fldCharType="begin"/>
          </w:r>
          <w:r>
            <w:instrText xml:space="preserve"> PAGEREF _Toc1232 \h </w:instrText>
          </w:r>
          <w:r>
            <w:fldChar w:fldCharType="separate"/>
          </w:r>
          <w:r>
            <w:t>529</w:t>
          </w:r>
          <w:r>
            <w:fldChar w:fldCharType="end"/>
          </w:r>
          <w:r>
            <w:fldChar w:fldCharType="end"/>
          </w:r>
        </w:p>
        <w:p>
          <w:pPr>
            <w:pStyle w:val="11"/>
            <w:tabs>
              <w:tab w:val="right" w:leader="dot" w:pos="8306"/>
            </w:tabs>
          </w:pPr>
          <w:r>
            <w:fldChar w:fldCharType="begin"/>
          </w:r>
          <w:r>
            <w:instrText xml:space="preserve"> HYPERLINK \l _Toc15361 </w:instrText>
          </w:r>
          <w:r>
            <w:fldChar w:fldCharType="separate"/>
          </w:r>
          <w:r>
            <w:rPr>
              <w:rFonts w:hint="eastAsia" w:cs="宋体" w:asciiTheme="majorEastAsia" w:hAnsiTheme="majorEastAsia" w:eastAsiaTheme="majorEastAsia"/>
              <w:bCs/>
            </w:rPr>
            <w:t>第六章权属初始登记</w:t>
          </w:r>
          <w:r>
            <w:tab/>
          </w:r>
          <w:r>
            <w:fldChar w:fldCharType="begin"/>
          </w:r>
          <w:r>
            <w:instrText xml:space="preserve"> PAGEREF _Toc15361 \h </w:instrText>
          </w:r>
          <w:r>
            <w:fldChar w:fldCharType="separate"/>
          </w:r>
          <w:r>
            <w:t>531</w:t>
          </w:r>
          <w:r>
            <w:fldChar w:fldCharType="end"/>
          </w:r>
          <w:r>
            <w:fldChar w:fldCharType="end"/>
          </w:r>
        </w:p>
        <w:p>
          <w:pPr>
            <w:pStyle w:val="11"/>
            <w:tabs>
              <w:tab w:val="right" w:leader="dot" w:pos="8306"/>
            </w:tabs>
          </w:pPr>
          <w:r>
            <w:fldChar w:fldCharType="begin"/>
          </w:r>
          <w:r>
            <w:instrText xml:space="preserve"> HYPERLINK \l _Toc17296 </w:instrText>
          </w:r>
          <w:r>
            <w:fldChar w:fldCharType="separate"/>
          </w:r>
          <w:r>
            <w:rPr>
              <w:rFonts w:hint="eastAsia" w:cs="宋体" w:asciiTheme="majorEastAsia" w:hAnsiTheme="majorEastAsia" w:eastAsiaTheme="majorEastAsia"/>
              <w:bCs/>
            </w:rPr>
            <w:t>第七章已贴现票据的质押和保证业务处理</w:t>
          </w:r>
          <w:r>
            <w:tab/>
          </w:r>
          <w:r>
            <w:fldChar w:fldCharType="begin"/>
          </w:r>
          <w:r>
            <w:instrText xml:space="preserve"> PAGEREF _Toc17296 \h </w:instrText>
          </w:r>
          <w:r>
            <w:fldChar w:fldCharType="separate"/>
          </w:r>
          <w:r>
            <w:t>531</w:t>
          </w:r>
          <w:r>
            <w:fldChar w:fldCharType="end"/>
          </w:r>
          <w:r>
            <w:fldChar w:fldCharType="end"/>
          </w:r>
        </w:p>
        <w:p>
          <w:pPr>
            <w:pStyle w:val="11"/>
            <w:tabs>
              <w:tab w:val="right" w:leader="dot" w:pos="8306"/>
            </w:tabs>
          </w:pPr>
          <w:r>
            <w:fldChar w:fldCharType="begin"/>
          </w:r>
          <w:r>
            <w:instrText xml:space="preserve"> HYPERLINK \l _Toc12330 </w:instrText>
          </w:r>
          <w:r>
            <w:fldChar w:fldCharType="separate"/>
          </w:r>
          <w:r>
            <w:rPr>
              <w:rFonts w:hint="eastAsia" w:cs="宋体" w:asciiTheme="majorEastAsia" w:hAnsiTheme="majorEastAsia" w:eastAsiaTheme="majorEastAsia"/>
              <w:bCs/>
            </w:rPr>
            <w:t>第八章库存移库业务处理</w:t>
          </w:r>
          <w:r>
            <w:tab/>
          </w:r>
          <w:r>
            <w:fldChar w:fldCharType="begin"/>
          </w:r>
          <w:r>
            <w:instrText xml:space="preserve"> PAGEREF _Toc12330 \h </w:instrText>
          </w:r>
          <w:r>
            <w:fldChar w:fldCharType="separate"/>
          </w:r>
          <w:r>
            <w:t>533</w:t>
          </w:r>
          <w:r>
            <w:fldChar w:fldCharType="end"/>
          </w:r>
          <w:r>
            <w:fldChar w:fldCharType="end"/>
          </w:r>
        </w:p>
        <w:p>
          <w:pPr>
            <w:pStyle w:val="11"/>
            <w:tabs>
              <w:tab w:val="right" w:leader="dot" w:pos="8306"/>
            </w:tabs>
          </w:pPr>
          <w:r>
            <w:fldChar w:fldCharType="begin"/>
          </w:r>
          <w:r>
            <w:instrText xml:space="preserve"> HYPERLINK \l _Toc120 </w:instrText>
          </w:r>
          <w:r>
            <w:fldChar w:fldCharType="separate"/>
          </w:r>
          <w:r>
            <w:rPr>
              <w:rFonts w:hint="eastAsia" w:cs="宋体" w:asciiTheme="majorEastAsia" w:hAnsiTheme="majorEastAsia" w:eastAsiaTheme="majorEastAsia"/>
              <w:bCs/>
            </w:rPr>
            <w:t>第九章保证增信业务处理</w:t>
          </w:r>
          <w:r>
            <w:tab/>
          </w:r>
          <w:r>
            <w:fldChar w:fldCharType="begin"/>
          </w:r>
          <w:r>
            <w:instrText xml:space="preserve"> PAGEREF _Toc120 \h </w:instrText>
          </w:r>
          <w:r>
            <w:fldChar w:fldCharType="separate"/>
          </w:r>
          <w:r>
            <w:t>534</w:t>
          </w:r>
          <w:r>
            <w:fldChar w:fldCharType="end"/>
          </w:r>
          <w:r>
            <w:fldChar w:fldCharType="end"/>
          </w:r>
        </w:p>
        <w:p>
          <w:pPr>
            <w:pStyle w:val="11"/>
            <w:tabs>
              <w:tab w:val="right" w:leader="dot" w:pos="8306"/>
            </w:tabs>
          </w:pPr>
          <w:r>
            <w:fldChar w:fldCharType="begin"/>
          </w:r>
          <w:r>
            <w:instrText xml:space="preserve"> HYPERLINK \l _Toc11630 </w:instrText>
          </w:r>
          <w:r>
            <w:fldChar w:fldCharType="separate"/>
          </w:r>
          <w:r>
            <w:rPr>
              <w:rFonts w:hint="eastAsia" w:cs="宋体" w:asciiTheme="majorEastAsia" w:hAnsiTheme="majorEastAsia" w:eastAsiaTheme="majorEastAsia"/>
              <w:bCs/>
            </w:rPr>
            <w:t>第十一章提示付款业务处理</w:t>
          </w:r>
          <w:r>
            <w:tab/>
          </w:r>
          <w:r>
            <w:fldChar w:fldCharType="begin"/>
          </w:r>
          <w:r>
            <w:instrText xml:space="preserve"> PAGEREF _Toc11630 \h </w:instrText>
          </w:r>
          <w:r>
            <w:fldChar w:fldCharType="separate"/>
          </w:r>
          <w:r>
            <w:t>538</w:t>
          </w:r>
          <w:r>
            <w:fldChar w:fldCharType="end"/>
          </w:r>
          <w:r>
            <w:fldChar w:fldCharType="end"/>
          </w:r>
        </w:p>
        <w:p>
          <w:pPr>
            <w:pStyle w:val="11"/>
            <w:tabs>
              <w:tab w:val="right" w:leader="dot" w:pos="8306"/>
            </w:tabs>
          </w:pPr>
          <w:r>
            <w:fldChar w:fldCharType="begin"/>
          </w:r>
          <w:r>
            <w:instrText xml:space="preserve"> HYPERLINK \l _Toc27737 </w:instrText>
          </w:r>
          <w:r>
            <w:fldChar w:fldCharType="separate"/>
          </w:r>
          <w:r>
            <w:rPr>
              <w:rFonts w:hint="eastAsia" w:cs="宋体" w:asciiTheme="majorEastAsia" w:hAnsiTheme="majorEastAsia" w:eastAsiaTheme="majorEastAsia"/>
              <w:bCs/>
            </w:rPr>
            <w:t>第十二章追偿业务处理</w:t>
          </w:r>
          <w:r>
            <w:tab/>
          </w:r>
          <w:r>
            <w:fldChar w:fldCharType="begin"/>
          </w:r>
          <w:r>
            <w:instrText xml:space="preserve"> PAGEREF _Toc27737 \h </w:instrText>
          </w:r>
          <w:r>
            <w:fldChar w:fldCharType="separate"/>
          </w:r>
          <w:r>
            <w:t>540</w:t>
          </w:r>
          <w:r>
            <w:fldChar w:fldCharType="end"/>
          </w:r>
          <w:r>
            <w:fldChar w:fldCharType="end"/>
          </w:r>
        </w:p>
        <w:p>
          <w:pPr>
            <w:pStyle w:val="11"/>
            <w:tabs>
              <w:tab w:val="right" w:leader="dot" w:pos="8306"/>
            </w:tabs>
          </w:pPr>
          <w:r>
            <w:fldChar w:fldCharType="begin"/>
          </w:r>
          <w:r>
            <w:instrText xml:space="preserve"> HYPERLINK \l _Toc16354 </w:instrText>
          </w:r>
          <w:r>
            <w:fldChar w:fldCharType="separate"/>
          </w:r>
          <w:r>
            <w:rPr>
              <w:rFonts w:hint="eastAsia" w:cs="宋体" w:asciiTheme="majorEastAsia" w:hAnsiTheme="majorEastAsia" w:eastAsiaTheme="majorEastAsia"/>
              <w:bCs/>
            </w:rPr>
            <w:t>第十三章结清信息登记</w:t>
          </w:r>
          <w:r>
            <w:tab/>
          </w:r>
          <w:r>
            <w:fldChar w:fldCharType="begin"/>
          </w:r>
          <w:r>
            <w:instrText xml:space="preserve"> PAGEREF _Toc16354 \h </w:instrText>
          </w:r>
          <w:r>
            <w:fldChar w:fldCharType="separate"/>
          </w:r>
          <w:r>
            <w:t>542</w:t>
          </w:r>
          <w:r>
            <w:fldChar w:fldCharType="end"/>
          </w:r>
          <w:r>
            <w:fldChar w:fldCharType="end"/>
          </w:r>
        </w:p>
        <w:p>
          <w:pPr>
            <w:pStyle w:val="11"/>
            <w:tabs>
              <w:tab w:val="right" w:leader="dot" w:pos="8306"/>
            </w:tabs>
          </w:pPr>
          <w:r>
            <w:fldChar w:fldCharType="begin"/>
          </w:r>
          <w:r>
            <w:instrText xml:space="preserve"> HYPERLINK \l _Toc12122 </w:instrText>
          </w:r>
          <w:r>
            <w:fldChar w:fldCharType="separate"/>
          </w:r>
          <w:r>
            <w:rPr>
              <w:rFonts w:hint="eastAsia" w:cs="宋体" w:asciiTheme="majorEastAsia" w:hAnsiTheme="majorEastAsia" w:eastAsiaTheme="majorEastAsia"/>
              <w:bCs/>
            </w:rPr>
            <w:t>第十四章止付信息登记</w:t>
          </w:r>
          <w:r>
            <w:tab/>
          </w:r>
          <w:r>
            <w:fldChar w:fldCharType="begin"/>
          </w:r>
          <w:r>
            <w:instrText xml:space="preserve"> PAGEREF _Toc12122 \h </w:instrText>
          </w:r>
          <w:r>
            <w:fldChar w:fldCharType="separate"/>
          </w:r>
          <w:r>
            <w:t>542</w:t>
          </w:r>
          <w:r>
            <w:fldChar w:fldCharType="end"/>
          </w:r>
          <w:r>
            <w:fldChar w:fldCharType="end"/>
          </w:r>
        </w:p>
        <w:p>
          <w:pPr>
            <w:pStyle w:val="11"/>
            <w:tabs>
              <w:tab w:val="right" w:leader="dot" w:pos="8306"/>
            </w:tabs>
          </w:pPr>
          <w:r>
            <w:fldChar w:fldCharType="begin"/>
          </w:r>
          <w:r>
            <w:instrText xml:space="preserve"> HYPERLINK \l _Toc4586 </w:instrText>
          </w:r>
          <w:r>
            <w:fldChar w:fldCharType="separate"/>
          </w:r>
          <w:r>
            <w:rPr>
              <w:rFonts w:hint="eastAsia" w:cs="宋体" w:asciiTheme="majorEastAsia" w:hAnsiTheme="majorEastAsia" w:eastAsiaTheme="majorEastAsia"/>
              <w:bCs/>
            </w:rPr>
            <w:t>第十五章实物保管与交接</w:t>
          </w:r>
          <w:r>
            <w:tab/>
          </w:r>
          <w:r>
            <w:fldChar w:fldCharType="begin"/>
          </w:r>
          <w:r>
            <w:instrText xml:space="preserve"> PAGEREF _Toc4586 \h </w:instrText>
          </w:r>
          <w:r>
            <w:fldChar w:fldCharType="separate"/>
          </w:r>
          <w:r>
            <w:t>544</w:t>
          </w:r>
          <w:r>
            <w:fldChar w:fldCharType="end"/>
          </w:r>
          <w:r>
            <w:fldChar w:fldCharType="end"/>
          </w:r>
        </w:p>
        <w:p>
          <w:pPr>
            <w:pStyle w:val="11"/>
            <w:tabs>
              <w:tab w:val="right" w:leader="dot" w:pos="8306"/>
            </w:tabs>
          </w:pPr>
          <w:r>
            <w:fldChar w:fldCharType="begin"/>
          </w:r>
          <w:r>
            <w:instrText xml:space="preserve"> HYPERLINK \l _Toc18878 </w:instrText>
          </w:r>
          <w:r>
            <w:fldChar w:fldCharType="separate"/>
          </w:r>
          <w:r>
            <w:rPr>
              <w:rFonts w:hint="eastAsia" w:cs="宋体" w:asciiTheme="majorEastAsia" w:hAnsiTheme="majorEastAsia" w:eastAsiaTheme="majorEastAsia"/>
              <w:bCs/>
            </w:rPr>
            <w:t>第十六章异常情况处理</w:t>
          </w:r>
          <w:r>
            <w:tab/>
          </w:r>
          <w:r>
            <w:fldChar w:fldCharType="begin"/>
          </w:r>
          <w:r>
            <w:instrText xml:space="preserve"> PAGEREF _Toc18878 \h </w:instrText>
          </w:r>
          <w:r>
            <w:fldChar w:fldCharType="separate"/>
          </w:r>
          <w:r>
            <w:t>545</w:t>
          </w:r>
          <w:r>
            <w:fldChar w:fldCharType="end"/>
          </w:r>
          <w:r>
            <w:fldChar w:fldCharType="end"/>
          </w:r>
        </w:p>
        <w:p>
          <w:pPr>
            <w:pStyle w:val="11"/>
            <w:tabs>
              <w:tab w:val="right" w:leader="dot" w:pos="8306"/>
            </w:tabs>
          </w:pPr>
          <w:r>
            <w:fldChar w:fldCharType="begin"/>
          </w:r>
          <w:r>
            <w:instrText xml:space="preserve"> HYPERLINK \l _Toc27753 </w:instrText>
          </w:r>
          <w:r>
            <w:fldChar w:fldCharType="separate"/>
          </w:r>
          <w:r>
            <w:rPr>
              <w:rFonts w:hint="eastAsia" w:cs="宋体" w:asciiTheme="majorEastAsia" w:hAnsiTheme="majorEastAsia" w:eastAsiaTheme="majorEastAsia"/>
              <w:bCs/>
            </w:rPr>
            <w:t>第十七章附则</w:t>
          </w:r>
          <w:r>
            <w:tab/>
          </w:r>
          <w:r>
            <w:fldChar w:fldCharType="begin"/>
          </w:r>
          <w:r>
            <w:instrText xml:space="preserve"> PAGEREF _Toc27753 \h </w:instrText>
          </w:r>
          <w:r>
            <w:fldChar w:fldCharType="separate"/>
          </w:r>
          <w:r>
            <w:t>547</w:t>
          </w:r>
          <w:r>
            <w:fldChar w:fldCharType="end"/>
          </w:r>
          <w:r>
            <w:fldChar w:fldCharType="end"/>
          </w:r>
        </w:p>
        <w:p>
          <w:pPr>
            <w:pStyle w:val="11"/>
            <w:tabs>
              <w:tab w:val="right" w:leader="dot" w:pos="8306"/>
            </w:tabs>
          </w:pPr>
          <w:r>
            <w:fldChar w:fldCharType="begin"/>
          </w:r>
          <w:r>
            <w:instrText xml:space="preserve"> HYPERLINK \l _Toc11230 </w:instrText>
          </w:r>
          <w:r>
            <w:fldChar w:fldCharType="separate"/>
          </w:r>
          <w:r>
            <w:rPr>
              <w:rFonts w:cs="宋体" w:asciiTheme="majorEastAsia" w:hAnsiTheme="majorEastAsia" w:eastAsiaTheme="majorEastAsia"/>
              <w:bCs/>
              <w:szCs w:val="24"/>
              <w:lang w:val="en-US" w:eastAsia="zh-CN" w:bidi="ar-SA"/>
            </w:rPr>
            <w:t>90.</w:t>
          </w:r>
          <w:r>
            <w:rPr>
              <w:rFonts w:hint="eastAsia"/>
            </w:rPr>
            <w:t>《上海票据交易所票据交易规则》</w:t>
          </w:r>
          <w:r>
            <w:tab/>
          </w:r>
          <w:r>
            <w:fldChar w:fldCharType="begin"/>
          </w:r>
          <w:r>
            <w:instrText xml:space="preserve"> PAGEREF _Toc11230 \h </w:instrText>
          </w:r>
          <w:r>
            <w:fldChar w:fldCharType="separate"/>
          </w:r>
          <w:r>
            <w:t>548</w:t>
          </w:r>
          <w:r>
            <w:fldChar w:fldCharType="end"/>
          </w:r>
          <w:r>
            <w:fldChar w:fldCharType="end"/>
          </w:r>
        </w:p>
        <w:p>
          <w:pPr>
            <w:pStyle w:val="11"/>
            <w:tabs>
              <w:tab w:val="right" w:pos="5200"/>
              <w:tab w:val="right" w:leader="dot" w:pos="8306"/>
            </w:tabs>
          </w:pPr>
          <w:r>
            <w:fldChar w:fldCharType="begin"/>
          </w:r>
          <w:r>
            <w:instrText xml:space="preserve"> HYPERLINK \l _Toc9550 </w:instrText>
          </w:r>
          <w:r>
            <w:fldChar w:fldCharType="separate"/>
          </w:r>
          <w:r>
            <w:rPr>
              <w:rFonts w:hint="eastAsia" w:cs="宋体" w:asciiTheme="majorEastAsia" w:hAnsiTheme="majorEastAsia" w:eastAsiaTheme="majorEastAsia"/>
            </w:rPr>
            <w:t>发文机构：上海票据交易所</w:t>
          </w:r>
          <w:r>
            <w:rPr>
              <w:rFonts w:hint="eastAsia" w:cs="宋体" w:asciiTheme="majorEastAsia" w:hAnsiTheme="majorEastAsia" w:eastAsiaTheme="majorEastAsia"/>
            </w:rPr>
            <w:tab/>
          </w:r>
          <w:r>
            <w:rPr>
              <w:rFonts w:hint="eastAsia" w:cs="宋体" w:asciiTheme="majorEastAsia" w:hAnsiTheme="majorEastAsia" w:eastAsiaTheme="majorEastAsia"/>
            </w:rPr>
            <w:t>文号：票交所发〔2017〕6号</w:t>
          </w:r>
          <w:r>
            <w:tab/>
          </w:r>
          <w:r>
            <w:fldChar w:fldCharType="begin"/>
          </w:r>
          <w:r>
            <w:instrText xml:space="preserve"> PAGEREF _Toc9550 \h </w:instrText>
          </w:r>
          <w:r>
            <w:fldChar w:fldCharType="separate"/>
          </w:r>
          <w:r>
            <w:t>548</w:t>
          </w:r>
          <w:r>
            <w:fldChar w:fldCharType="end"/>
          </w:r>
          <w:r>
            <w:fldChar w:fldCharType="end"/>
          </w:r>
        </w:p>
        <w:p>
          <w:pPr>
            <w:pStyle w:val="11"/>
            <w:tabs>
              <w:tab w:val="right" w:leader="dot" w:pos="8306"/>
            </w:tabs>
          </w:pPr>
          <w:r>
            <w:fldChar w:fldCharType="begin"/>
          </w:r>
          <w:r>
            <w:instrText xml:space="preserve"> HYPERLINK \l _Toc18180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_Toc18180 \h </w:instrText>
          </w:r>
          <w:r>
            <w:fldChar w:fldCharType="separate"/>
          </w:r>
          <w:r>
            <w:t>548</w:t>
          </w:r>
          <w:r>
            <w:fldChar w:fldCharType="end"/>
          </w:r>
          <w:r>
            <w:fldChar w:fldCharType="end"/>
          </w:r>
        </w:p>
        <w:p>
          <w:pPr>
            <w:pStyle w:val="11"/>
            <w:tabs>
              <w:tab w:val="right" w:leader="dot" w:pos="8306"/>
            </w:tabs>
          </w:pPr>
          <w:r>
            <w:fldChar w:fldCharType="begin"/>
          </w:r>
          <w:r>
            <w:instrText xml:space="preserve"> HYPERLINK \l _Toc22406 </w:instrText>
          </w:r>
          <w:r>
            <w:fldChar w:fldCharType="separate"/>
          </w:r>
          <w:r>
            <w:rPr>
              <w:rFonts w:hint="eastAsia" w:cs="宋体" w:asciiTheme="majorEastAsia" w:hAnsiTheme="majorEastAsia" w:eastAsiaTheme="majorEastAsia"/>
              <w:bCs/>
            </w:rPr>
            <w:t>第二章定义与基本规则</w:t>
          </w:r>
          <w:r>
            <w:tab/>
          </w:r>
          <w:r>
            <w:fldChar w:fldCharType="begin"/>
          </w:r>
          <w:r>
            <w:instrText xml:space="preserve"> PAGEREF _Toc22406 \h </w:instrText>
          </w:r>
          <w:r>
            <w:fldChar w:fldCharType="separate"/>
          </w:r>
          <w:r>
            <w:t>548</w:t>
          </w:r>
          <w:r>
            <w:fldChar w:fldCharType="end"/>
          </w:r>
          <w:r>
            <w:fldChar w:fldCharType="end"/>
          </w:r>
        </w:p>
        <w:p>
          <w:pPr>
            <w:pStyle w:val="11"/>
            <w:tabs>
              <w:tab w:val="right" w:leader="dot" w:pos="8306"/>
            </w:tabs>
          </w:pPr>
          <w:r>
            <w:fldChar w:fldCharType="begin"/>
          </w:r>
          <w:r>
            <w:instrText xml:space="preserve"> HYPERLINK \l _Toc9732 </w:instrText>
          </w:r>
          <w:r>
            <w:fldChar w:fldCharType="separate"/>
          </w:r>
          <w:r>
            <w:rPr>
              <w:rFonts w:hint="eastAsia" w:cs="宋体" w:asciiTheme="majorEastAsia" w:hAnsiTheme="majorEastAsia" w:eastAsiaTheme="majorEastAsia"/>
              <w:bCs/>
            </w:rPr>
            <w:t>第三章交易方式与一般流程</w:t>
          </w:r>
          <w:r>
            <w:tab/>
          </w:r>
          <w:r>
            <w:fldChar w:fldCharType="begin"/>
          </w:r>
          <w:r>
            <w:instrText xml:space="preserve"> PAGEREF _Toc9732 \h </w:instrText>
          </w:r>
          <w:r>
            <w:fldChar w:fldCharType="separate"/>
          </w:r>
          <w:r>
            <w:t>553</w:t>
          </w:r>
          <w:r>
            <w:fldChar w:fldCharType="end"/>
          </w:r>
          <w:r>
            <w:fldChar w:fldCharType="end"/>
          </w:r>
        </w:p>
        <w:p>
          <w:pPr>
            <w:pStyle w:val="11"/>
            <w:tabs>
              <w:tab w:val="right" w:leader="dot" w:pos="8306"/>
            </w:tabs>
          </w:pPr>
          <w:r>
            <w:fldChar w:fldCharType="begin"/>
          </w:r>
          <w:r>
            <w:instrText xml:space="preserve"> HYPERLINK \l _Toc22440 </w:instrText>
          </w:r>
          <w:r>
            <w:fldChar w:fldCharType="separate"/>
          </w:r>
          <w:r>
            <w:rPr>
              <w:rFonts w:hint="eastAsia" w:cs="宋体" w:asciiTheme="majorEastAsia" w:hAnsiTheme="majorEastAsia" w:eastAsiaTheme="majorEastAsia"/>
              <w:bCs/>
            </w:rPr>
            <w:t>第四章票据转贴现</w:t>
          </w:r>
          <w:r>
            <w:tab/>
          </w:r>
          <w:r>
            <w:fldChar w:fldCharType="begin"/>
          </w:r>
          <w:r>
            <w:instrText xml:space="preserve"> PAGEREF _Toc22440 \h </w:instrText>
          </w:r>
          <w:r>
            <w:fldChar w:fldCharType="separate"/>
          </w:r>
          <w:r>
            <w:t>556</w:t>
          </w:r>
          <w:r>
            <w:fldChar w:fldCharType="end"/>
          </w:r>
          <w:r>
            <w:fldChar w:fldCharType="end"/>
          </w:r>
        </w:p>
        <w:p>
          <w:pPr>
            <w:pStyle w:val="11"/>
            <w:tabs>
              <w:tab w:val="right" w:leader="dot" w:pos="8306"/>
            </w:tabs>
          </w:pPr>
          <w:r>
            <w:fldChar w:fldCharType="begin"/>
          </w:r>
          <w:r>
            <w:instrText xml:space="preserve"> HYPERLINK \l _Toc21456 </w:instrText>
          </w:r>
          <w:r>
            <w:fldChar w:fldCharType="separate"/>
          </w:r>
          <w:r>
            <w:rPr>
              <w:rFonts w:hint="eastAsia" w:cs="宋体" w:asciiTheme="majorEastAsia" w:hAnsiTheme="majorEastAsia" w:eastAsiaTheme="majorEastAsia"/>
              <w:bCs/>
            </w:rPr>
            <w:t>第六章票据买断式回购</w:t>
          </w:r>
          <w:r>
            <w:tab/>
          </w:r>
          <w:r>
            <w:fldChar w:fldCharType="begin"/>
          </w:r>
          <w:r>
            <w:instrText xml:space="preserve"> PAGEREF _Toc21456 \h </w:instrText>
          </w:r>
          <w:r>
            <w:fldChar w:fldCharType="separate"/>
          </w:r>
          <w:r>
            <w:t>560</w:t>
          </w:r>
          <w:r>
            <w:fldChar w:fldCharType="end"/>
          </w:r>
          <w:r>
            <w:fldChar w:fldCharType="end"/>
          </w:r>
        </w:p>
        <w:p>
          <w:pPr>
            <w:pStyle w:val="11"/>
            <w:tabs>
              <w:tab w:val="right" w:leader="dot" w:pos="8306"/>
            </w:tabs>
          </w:pPr>
          <w:r>
            <w:fldChar w:fldCharType="begin"/>
          </w:r>
          <w:r>
            <w:instrText xml:space="preserve"> HYPERLINK \l _Toc13011 </w:instrText>
          </w:r>
          <w:r>
            <w:fldChar w:fldCharType="separate"/>
          </w:r>
          <w:r>
            <w:rPr>
              <w:rFonts w:hint="eastAsia" w:cs="宋体" w:asciiTheme="majorEastAsia" w:hAnsiTheme="majorEastAsia" w:eastAsiaTheme="majorEastAsia"/>
              <w:bCs/>
            </w:rPr>
            <w:t>第七章市场监测</w:t>
          </w:r>
          <w:r>
            <w:tab/>
          </w:r>
          <w:r>
            <w:fldChar w:fldCharType="begin"/>
          </w:r>
          <w:r>
            <w:instrText xml:space="preserve"> PAGEREF _Toc13011 \h </w:instrText>
          </w:r>
          <w:r>
            <w:fldChar w:fldCharType="separate"/>
          </w:r>
          <w:r>
            <w:t>562</w:t>
          </w:r>
          <w:r>
            <w:fldChar w:fldCharType="end"/>
          </w:r>
          <w:r>
            <w:fldChar w:fldCharType="end"/>
          </w:r>
        </w:p>
        <w:p>
          <w:pPr>
            <w:pStyle w:val="11"/>
            <w:tabs>
              <w:tab w:val="right" w:leader="dot" w:pos="8306"/>
            </w:tabs>
          </w:pPr>
          <w:r>
            <w:fldChar w:fldCharType="begin"/>
          </w:r>
          <w:r>
            <w:instrText xml:space="preserve"> HYPERLINK \l _Toc18251 </w:instrText>
          </w:r>
          <w:r>
            <w:fldChar w:fldCharType="separate"/>
          </w:r>
          <w:r>
            <w:rPr>
              <w:rFonts w:hint="eastAsia" w:cs="宋体" w:asciiTheme="majorEastAsia" w:hAnsiTheme="majorEastAsia" w:eastAsiaTheme="majorEastAsia"/>
              <w:bCs/>
            </w:rPr>
            <w:t>第八章交易相关服务</w:t>
          </w:r>
          <w:r>
            <w:tab/>
          </w:r>
          <w:r>
            <w:fldChar w:fldCharType="begin"/>
          </w:r>
          <w:r>
            <w:instrText xml:space="preserve"> PAGEREF _Toc18251 \h </w:instrText>
          </w:r>
          <w:r>
            <w:fldChar w:fldCharType="separate"/>
          </w:r>
          <w:r>
            <w:t>563</w:t>
          </w:r>
          <w:r>
            <w:fldChar w:fldCharType="end"/>
          </w:r>
          <w:r>
            <w:fldChar w:fldCharType="end"/>
          </w:r>
        </w:p>
        <w:p>
          <w:pPr>
            <w:pStyle w:val="11"/>
            <w:tabs>
              <w:tab w:val="right" w:leader="dot" w:pos="8306"/>
            </w:tabs>
          </w:pPr>
          <w:r>
            <w:fldChar w:fldCharType="begin"/>
          </w:r>
          <w:r>
            <w:instrText xml:space="preserve"> HYPERLINK \l _Toc12686 </w:instrText>
          </w:r>
          <w:r>
            <w:fldChar w:fldCharType="separate"/>
          </w:r>
          <w:r>
            <w:rPr>
              <w:rFonts w:hint="eastAsia" w:cs="宋体" w:asciiTheme="majorEastAsia" w:hAnsiTheme="majorEastAsia" w:eastAsiaTheme="majorEastAsia"/>
              <w:bCs/>
            </w:rPr>
            <w:t>第九章附则</w:t>
          </w:r>
          <w:r>
            <w:tab/>
          </w:r>
          <w:r>
            <w:fldChar w:fldCharType="begin"/>
          </w:r>
          <w:r>
            <w:instrText xml:space="preserve"> PAGEREF _Toc12686 \h </w:instrText>
          </w:r>
          <w:r>
            <w:fldChar w:fldCharType="separate"/>
          </w:r>
          <w:r>
            <w:t>564</w:t>
          </w:r>
          <w:r>
            <w:fldChar w:fldCharType="end"/>
          </w:r>
          <w:r>
            <w:fldChar w:fldCharType="end"/>
          </w:r>
        </w:p>
        <w:p>
          <w:pPr>
            <w:pStyle w:val="11"/>
            <w:tabs>
              <w:tab w:val="right" w:leader="dot" w:pos="8306"/>
            </w:tabs>
          </w:pPr>
          <w:r>
            <w:fldChar w:fldCharType="begin"/>
          </w:r>
          <w:r>
            <w:instrText xml:space="preserve"> HYPERLINK \l _Toc1841 </w:instrText>
          </w:r>
          <w:r>
            <w:fldChar w:fldCharType="separate"/>
          </w:r>
          <w:r>
            <w:rPr>
              <w:rFonts w:cs="宋体" w:asciiTheme="majorEastAsia" w:hAnsiTheme="majorEastAsia" w:eastAsiaTheme="majorEastAsia"/>
              <w:bCs/>
              <w:szCs w:val="24"/>
              <w:lang w:val="en-US" w:eastAsia="zh-CN" w:bidi="ar-SA"/>
            </w:rPr>
            <w:t>91.</w:t>
          </w:r>
          <w:r>
            <w:rPr>
              <w:rFonts w:hint="eastAsia"/>
            </w:rPr>
            <w:t>《关于金融支持制造强国建设的指导意见》</w:t>
          </w:r>
          <w:r>
            <w:tab/>
          </w:r>
          <w:r>
            <w:fldChar w:fldCharType="begin"/>
          </w:r>
          <w:r>
            <w:instrText xml:space="preserve"> PAGEREF _Toc1841 \h </w:instrText>
          </w:r>
          <w:r>
            <w:fldChar w:fldCharType="separate"/>
          </w:r>
          <w:r>
            <w:t>565</w:t>
          </w:r>
          <w:r>
            <w:fldChar w:fldCharType="end"/>
          </w:r>
          <w:r>
            <w:fldChar w:fldCharType="end"/>
          </w:r>
        </w:p>
        <w:p>
          <w:pPr>
            <w:pStyle w:val="11"/>
            <w:tabs>
              <w:tab w:val="right" w:leader="dot" w:pos="8306"/>
            </w:tabs>
          </w:pPr>
          <w:r>
            <w:fldChar w:fldCharType="begin"/>
          </w:r>
          <w:r>
            <w:instrText xml:space="preserve"> HYPERLINK \l _Toc26293 </w:instrText>
          </w:r>
          <w:r>
            <w:fldChar w:fldCharType="separate"/>
          </w:r>
          <w:r>
            <w:rPr>
              <w:rFonts w:cs="宋体" w:asciiTheme="majorEastAsia" w:hAnsiTheme="majorEastAsia" w:eastAsiaTheme="majorEastAsia"/>
              <w:bCs/>
              <w:szCs w:val="24"/>
              <w:lang w:val="en-US" w:eastAsia="zh-CN" w:bidi="ar-SA"/>
            </w:rPr>
            <w:t>92.</w:t>
          </w:r>
          <w:r>
            <w:rPr>
              <w:rFonts w:hint="eastAsia"/>
            </w:rPr>
            <w:t>《商业银行押品管理指引》</w:t>
          </w:r>
          <w:r>
            <w:tab/>
          </w:r>
          <w:r>
            <w:fldChar w:fldCharType="begin"/>
          </w:r>
          <w:r>
            <w:instrText xml:space="preserve"> PAGEREF _Toc26293 \h </w:instrText>
          </w:r>
          <w:r>
            <w:fldChar w:fldCharType="separate"/>
          </w:r>
          <w:r>
            <w:t>572</w:t>
          </w:r>
          <w:r>
            <w:fldChar w:fldCharType="end"/>
          </w:r>
          <w:r>
            <w:fldChar w:fldCharType="end"/>
          </w:r>
        </w:p>
        <w:p>
          <w:pPr>
            <w:pStyle w:val="11"/>
            <w:tabs>
              <w:tab w:val="right" w:leader="dot" w:pos="8306"/>
            </w:tabs>
          </w:pPr>
          <w:r>
            <w:fldChar w:fldCharType="begin"/>
          </w:r>
          <w:r>
            <w:instrText xml:space="preserve"> HYPERLINK \l _Toc3537 </w:instrText>
          </w:r>
          <w:r>
            <w:fldChar w:fldCharType="separate"/>
          </w:r>
          <w:r>
            <w:rPr>
              <w:rFonts w:hint="eastAsia" w:cs="宋体" w:asciiTheme="majorEastAsia" w:hAnsiTheme="majorEastAsia" w:eastAsiaTheme="majorEastAsia"/>
            </w:rPr>
            <w:t>发文机构：中国银行业监督管理委员会（已撤销）</w:t>
          </w:r>
          <w:r>
            <w:tab/>
          </w:r>
          <w:r>
            <w:fldChar w:fldCharType="begin"/>
          </w:r>
          <w:r>
            <w:instrText xml:space="preserve"> PAGEREF _Toc3537 \h </w:instrText>
          </w:r>
          <w:r>
            <w:fldChar w:fldCharType="separate"/>
          </w:r>
          <w:r>
            <w:t>572</w:t>
          </w:r>
          <w:r>
            <w:fldChar w:fldCharType="end"/>
          </w:r>
          <w:r>
            <w:fldChar w:fldCharType="end"/>
          </w:r>
        </w:p>
        <w:p>
          <w:pPr>
            <w:pStyle w:val="11"/>
            <w:tabs>
              <w:tab w:val="right" w:leader="dot" w:pos="8306"/>
            </w:tabs>
          </w:pPr>
          <w:r>
            <w:fldChar w:fldCharType="begin"/>
          </w:r>
          <w:r>
            <w:instrText xml:space="preserve"> HYPERLINK \l _Toc21170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_Toc21170 \h </w:instrText>
          </w:r>
          <w:r>
            <w:fldChar w:fldCharType="separate"/>
          </w:r>
          <w:r>
            <w:t>572</w:t>
          </w:r>
          <w:r>
            <w:fldChar w:fldCharType="end"/>
          </w:r>
          <w:r>
            <w:fldChar w:fldCharType="end"/>
          </w:r>
        </w:p>
        <w:p>
          <w:pPr>
            <w:pStyle w:val="11"/>
            <w:tabs>
              <w:tab w:val="right" w:leader="dot" w:pos="8306"/>
            </w:tabs>
          </w:pPr>
          <w:r>
            <w:fldChar w:fldCharType="begin"/>
          </w:r>
          <w:r>
            <w:instrText xml:space="preserve"> HYPERLINK \l _Toc29664 </w:instrText>
          </w:r>
          <w:r>
            <w:fldChar w:fldCharType="separate"/>
          </w:r>
          <w:r>
            <w:rPr>
              <w:rFonts w:hint="eastAsia" w:cs="宋体" w:asciiTheme="majorEastAsia" w:hAnsiTheme="majorEastAsia" w:eastAsiaTheme="majorEastAsia"/>
              <w:bCs/>
            </w:rPr>
            <w:t>第二章管理体系</w:t>
          </w:r>
          <w:r>
            <w:tab/>
          </w:r>
          <w:r>
            <w:fldChar w:fldCharType="begin"/>
          </w:r>
          <w:r>
            <w:instrText xml:space="preserve"> PAGEREF _Toc29664 \h </w:instrText>
          </w:r>
          <w:r>
            <w:fldChar w:fldCharType="separate"/>
          </w:r>
          <w:r>
            <w:t>572</w:t>
          </w:r>
          <w:r>
            <w:fldChar w:fldCharType="end"/>
          </w:r>
          <w:r>
            <w:fldChar w:fldCharType="end"/>
          </w:r>
        </w:p>
        <w:p>
          <w:pPr>
            <w:pStyle w:val="11"/>
            <w:tabs>
              <w:tab w:val="right" w:leader="dot" w:pos="8306"/>
            </w:tabs>
          </w:pPr>
          <w:r>
            <w:fldChar w:fldCharType="begin"/>
          </w:r>
          <w:r>
            <w:instrText xml:space="preserve"> HYPERLINK \l _Toc9617 </w:instrText>
          </w:r>
          <w:r>
            <w:fldChar w:fldCharType="separate"/>
          </w:r>
          <w:r>
            <w:rPr>
              <w:rFonts w:hint="eastAsia" w:cs="宋体" w:asciiTheme="majorEastAsia" w:hAnsiTheme="majorEastAsia" w:eastAsiaTheme="majorEastAsia"/>
              <w:bCs/>
            </w:rPr>
            <w:t>第三章风险管理</w:t>
          </w:r>
          <w:r>
            <w:tab/>
          </w:r>
          <w:r>
            <w:fldChar w:fldCharType="begin"/>
          </w:r>
          <w:r>
            <w:instrText xml:space="preserve"> PAGEREF _Toc9617 \h </w:instrText>
          </w:r>
          <w:r>
            <w:fldChar w:fldCharType="separate"/>
          </w:r>
          <w:r>
            <w:t>573</w:t>
          </w:r>
          <w:r>
            <w:fldChar w:fldCharType="end"/>
          </w:r>
          <w:r>
            <w:fldChar w:fldCharType="end"/>
          </w:r>
        </w:p>
        <w:p>
          <w:pPr>
            <w:pStyle w:val="11"/>
            <w:tabs>
              <w:tab w:val="right" w:leader="dot" w:pos="8306"/>
            </w:tabs>
          </w:pPr>
          <w:r>
            <w:fldChar w:fldCharType="begin"/>
          </w:r>
          <w:r>
            <w:instrText xml:space="preserve"> HYPERLINK \l _Toc25275 </w:instrText>
          </w:r>
          <w:r>
            <w:fldChar w:fldCharType="separate"/>
          </w:r>
          <w:r>
            <w:rPr>
              <w:rFonts w:hint="eastAsia" w:cs="宋体" w:asciiTheme="majorEastAsia" w:hAnsiTheme="majorEastAsia" w:eastAsiaTheme="majorEastAsia"/>
              <w:bCs/>
            </w:rPr>
            <w:t>第四章押品调查与评估</w:t>
          </w:r>
          <w:r>
            <w:tab/>
          </w:r>
          <w:r>
            <w:fldChar w:fldCharType="begin"/>
          </w:r>
          <w:r>
            <w:instrText xml:space="preserve"> PAGEREF _Toc25275 \h </w:instrText>
          </w:r>
          <w:r>
            <w:fldChar w:fldCharType="separate"/>
          </w:r>
          <w:r>
            <w:t>575</w:t>
          </w:r>
          <w:r>
            <w:fldChar w:fldCharType="end"/>
          </w:r>
          <w:r>
            <w:fldChar w:fldCharType="end"/>
          </w:r>
        </w:p>
        <w:p>
          <w:pPr>
            <w:pStyle w:val="11"/>
            <w:tabs>
              <w:tab w:val="right" w:leader="dot" w:pos="8306"/>
            </w:tabs>
          </w:pPr>
          <w:r>
            <w:fldChar w:fldCharType="begin"/>
          </w:r>
          <w:r>
            <w:instrText xml:space="preserve"> HYPERLINK \l _Toc16055 </w:instrText>
          </w:r>
          <w:r>
            <w:fldChar w:fldCharType="separate"/>
          </w:r>
          <w:r>
            <w:rPr>
              <w:rFonts w:hint="eastAsia" w:cs="宋体" w:asciiTheme="majorEastAsia" w:hAnsiTheme="majorEastAsia" w:eastAsiaTheme="majorEastAsia"/>
              <w:bCs/>
            </w:rPr>
            <w:t>第五章抵质押设立与存续期管理</w:t>
          </w:r>
          <w:r>
            <w:tab/>
          </w:r>
          <w:r>
            <w:fldChar w:fldCharType="begin"/>
          </w:r>
          <w:r>
            <w:instrText xml:space="preserve"> PAGEREF _Toc16055 \h </w:instrText>
          </w:r>
          <w:r>
            <w:fldChar w:fldCharType="separate"/>
          </w:r>
          <w:r>
            <w:t>576</w:t>
          </w:r>
          <w:r>
            <w:fldChar w:fldCharType="end"/>
          </w:r>
          <w:r>
            <w:fldChar w:fldCharType="end"/>
          </w:r>
        </w:p>
        <w:p>
          <w:pPr>
            <w:pStyle w:val="11"/>
            <w:tabs>
              <w:tab w:val="right" w:leader="dot" w:pos="8306"/>
            </w:tabs>
          </w:pPr>
          <w:r>
            <w:fldChar w:fldCharType="begin"/>
          </w:r>
          <w:r>
            <w:instrText xml:space="preserve"> HYPERLINK \l _Toc4551 </w:instrText>
          </w:r>
          <w:r>
            <w:fldChar w:fldCharType="separate"/>
          </w:r>
          <w:r>
            <w:rPr>
              <w:rFonts w:hint="eastAsia" w:cs="宋体" w:asciiTheme="majorEastAsia" w:hAnsiTheme="majorEastAsia" w:eastAsiaTheme="majorEastAsia"/>
              <w:bCs/>
            </w:rPr>
            <w:t>第六章押品返还与处置</w:t>
          </w:r>
          <w:r>
            <w:tab/>
          </w:r>
          <w:r>
            <w:fldChar w:fldCharType="begin"/>
          </w:r>
          <w:r>
            <w:instrText xml:space="preserve"> PAGEREF _Toc4551 \h </w:instrText>
          </w:r>
          <w:r>
            <w:fldChar w:fldCharType="separate"/>
          </w:r>
          <w:r>
            <w:t>577</w:t>
          </w:r>
          <w:r>
            <w:fldChar w:fldCharType="end"/>
          </w:r>
          <w:r>
            <w:fldChar w:fldCharType="end"/>
          </w:r>
        </w:p>
        <w:p>
          <w:pPr>
            <w:pStyle w:val="11"/>
            <w:tabs>
              <w:tab w:val="right" w:leader="dot" w:pos="8306"/>
            </w:tabs>
          </w:pPr>
          <w:r>
            <w:fldChar w:fldCharType="begin"/>
          </w:r>
          <w:r>
            <w:instrText xml:space="preserve"> HYPERLINK \l _Toc16189 </w:instrText>
          </w:r>
          <w:r>
            <w:fldChar w:fldCharType="separate"/>
          </w:r>
          <w:r>
            <w:rPr>
              <w:rFonts w:hint="eastAsia" w:cs="宋体" w:asciiTheme="majorEastAsia" w:hAnsiTheme="majorEastAsia" w:eastAsiaTheme="majorEastAsia"/>
              <w:bCs/>
            </w:rPr>
            <w:t>第七章附则</w:t>
          </w:r>
          <w:r>
            <w:tab/>
          </w:r>
          <w:r>
            <w:fldChar w:fldCharType="begin"/>
          </w:r>
          <w:r>
            <w:instrText xml:space="preserve"> PAGEREF _Toc16189 \h </w:instrText>
          </w:r>
          <w:r>
            <w:fldChar w:fldCharType="separate"/>
          </w:r>
          <w:r>
            <w:t>578</w:t>
          </w:r>
          <w:r>
            <w:fldChar w:fldCharType="end"/>
          </w:r>
          <w:r>
            <w:fldChar w:fldCharType="end"/>
          </w:r>
        </w:p>
        <w:p>
          <w:pPr>
            <w:pStyle w:val="11"/>
            <w:tabs>
              <w:tab w:val="right" w:leader="dot" w:pos="8306"/>
            </w:tabs>
          </w:pPr>
          <w:r>
            <w:fldChar w:fldCharType="begin"/>
          </w:r>
          <w:r>
            <w:instrText xml:space="preserve"> HYPERLINK \l _Toc28631 </w:instrText>
          </w:r>
          <w:r>
            <w:fldChar w:fldCharType="separate"/>
          </w:r>
          <w:r>
            <w:rPr>
              <w:rFonts w:cs="宋体" w:asciiTheme="majorEastAsia" w:hAnsiTheme="majorEastAsia" w:eastAsiaTheme="majorEastAsia"/>
              <w:bCs/>
              <w:szCs w:val="24"/>
              <w:lang w:val="en-US" w:eastAsia="zh-CN" w:bidi="ar-SA"/>
            </w:rPr>
            <w:t>93.</w:t>
          </w:r>
          <w:r>
            <w:rPr>
              <w:rFonts w:hint="eastAsia"/>
            </w:rPr>
            <w:t>《提高小微企业信贷服务效率合理压缩获得信贷时间实施方案》</w:t>
          </w:r>
          <w:r>
            <w:tab/>
          </w:r>
          <w:r>
            <w:fldChar w:fldCharType="begin"/>
          </w:r>
          <w:r>
            <w:instrText xml:space="preserve"> PAGEREF _Toc28631 \h </w:instrText>
          </w:r>
          <w:r>
            <w:fldChar w:fldCharType="separate"/>
          </w:r>
          <w:r>
            <w:t>579</w:t>
          </w:r>
          <w:r>
            <w:fldChar w:fldCharType="end"/>
          </w:r>
          <w:r>
            <w:fldChar w:fldCharType="end"/>
          </w:r>
        </w:p>
        <w:p>
          <w:pPr>
            <w:pStyle w:val="11"/>
            <w:tabs>
              <w:tab w:val="right" w:leader="dot" w:pos="8306"/>
            </w:tabs>
          </w:pPr>
          <w:r>
            <w:fldChar w:fldCharType="begin"/>
          </w:r>
          <w:r>
            <w:instrText xml:space="preserve"> HYPERLINK \l _Toc27715 </w:instrText>
          </w:r>
          <w:r>
            <w:fldChar w:fldCharType="separate"/>
          </w:r>
          <w:r>
            <w:rPr>
              <w:rFonts w:cs="宋体" w:asciiTheme="majorEastAsia" w:hAnsiTheme="majorEastAsia" w:eastAsiaTheme="majorEastAsia"/>
              <w:bCs/>
              <w:szCs w:val="24"/>
              <w:lang w:val="en-US" w:eastAsia="zh-CN" w:bidi="ar-SA"/>
            </w:rPr>
            <w:t>94.</w:t>
          </w:r>
          <w:r>
            <w:rPr>
              <w:rFonts w:hint="eastAsia"/>
            </w:rPr>
            <w:t>《中国银监会关于规范银信类业务的通知》</w:t>
          </w:r>
          <w:r>
            <w:tab/>
          </w:r>
          <w:r>
            <w:fldChar w:fldCharType="begin"/>
          </w:r>
          <w:r>
            <w:instrText xml:space="preserve"> PAGEREF _Toc27715 \h </w:instrText>
          </w:r>
          <w:r>
            <w:fldChar w:fldCharType="separate"/>
          </w:r>
          <w:r>
            <w:t>582</w:t>
          </w:r>
          <w:r>
            <w:fldChar w:fldCharType="end"/>
          </w:r>
          <w:r>
            <w:fldChar w:fldCharType="end"/>
          </w:r>
        </w:p>
        <w:p>
          <w:pPr>
            <w:pStyle w:val="11"/>
            <w:tabs>
              <w:tab w:val="right" w:leader="dot" w:pos="8306"/>
            </w:tabs>
          </w:pPr>
          <w:r>
            <w:fldChar w:fldCharType="begin"/>
          </w:r>
          <w:r>
            <w:instrText xml:space="preserve"> HYPERLINK \l _Toc24769 </w:instrText>
          </w:r>
          <w:r>
            <w:fldChar w:fldCharType="separate"/>
          </w:r>
          <w:r>
            <w:rPr>
              <w:rFonts w:cs="宋体" w:asciiTheme="majorEastAsia" w:hAnsiTheme="majorEastAsia" w:eastAsiaTheme="majorEastAsia"/>
              <w:bCs/>
              <w:szCs w:val="24"/>
              <w:lang w:val="en-US" w:eastAsia="zh-CN" w:bidi="ar-SA"/>
            </w:rPr>
            <w:t>95.</w:t>
          </w:r>
          <w:r>
            <w:rPr>
              <w:rFonts w:hint="eastAsia"/>
            </w:rPr>
            <w:t>《中国人民银行关于进一步加强征信信息安全管理的通知》</w:t>
          </w:r>
          <w:r>
            <w:tab/>
          </w:r>
          <w:r>
            <w:fldChar w:fldCharType="begin"/>
          </w:r>
          <w:r>
            <w:instrText xml:space="preserve"> PAGEREF _Toc24769 \h </w:instrText>
          </w:r>
          <w:r>
            <w:fldChar w:fldCharType="separate"/>
          </w:r>
          <w:r>
            <w:t>584</w:t>
          </w:r>
          <w:r>
            <w:fldChar w:fldCharType="end"/>
          </w:r>
          <w:r>
            <w:fldChar w:fldCharType="end"/>
          </w:r>
        </w:p>
        <w:p>
          <w:pPr>
            <w:pStyle w:val="11"/>
            <w:tabs>
              <w:tab w:val="right" w:leader="dot" w:pos="8306"/>
            </w:tabs>
          </w:pPr>
          <w:r>
            <w:fldChar w:fldCharType="begin"/>
          </w:r>
          <w:r>
            <w:instrText xml:space="preserve"> HYPERLINK \l _Toc18613 </w:instrText>
          </w:r>
          <w:r>
            <w:fldChar w:fldCharType="separate"/>
          </w:r>
          <w:r>
            <w:rPr>
              <w:rFonts w:cs="宋体" w:asciiTheme="majorEastAsia" w:hAnsiTheme="majorEastAsia" w:eastAsiaTheme="majorEastAsia"/>
              <w:bCs/>
              <w:lang w:val="zh-CN"/>
            </w:rPr>
            <w:t>全国性接入机构名单</w:t>
          </w:r>
          <w:r>
            <w:tab/>
          </w:r>
          <w:r>
            <w:fldChar w:fldCharType="begin"/>
          </w:r>
          <w:r>
            <w:instrText xml:space="preserve"> PAGEREF _Toc18613 \h </w:instrText>
          </w:r>
          <w:r>
            <w:fldChar w:fldCharType="separate"/>
          </w:r>
          <w:r>
            <w:t>589</w:t>
          </w:r>
          <w:r>
            <w:fldChar w:fldCharType="end"/>
          </w:r>
          <w:r>
            <w:fldChar w:fldCharType="end"/>
          </w:r>
        </w:p>
        <w:p>
          <w:pPr>
            <w:pStyle w:val="11"/>
            <w:tabs>
              <w:tab w:val="right" w:leader="dot" w:pos="8306"/>
            </w:tabs>
          </w:pPr>
          <w:r>
            <w:fldChar w:fldCharType="begin"/>
          </w:r>
          <w:r>
            <w:instrText xml:space="preserve"> HYPERLINK \l _Toc30848 </w:instrText>
          </w:r>
          <w:r>
            <w:fldChar w:fldCharType="separate"/>
          </w:r>
          <w:r>
            <w:rPr>
              <w:rFonts w:hint="eastAsia" w:cs="宋体" w:asciiTheme="majorEastAsia" w:hAnsiTheme="majorEastAsia" w:eastAsiaTheme="majorEastAsia"/>
              <w:bCs/>
              <w:lang w:val="zh-CN"/>
            </w:rPr>
            <w:t>第一章总则</w:t>
          </w:r>
          <w:r>
            <w:tab/>
          </w:r>
          <w:r>
            <w:fldChar w:fldCharType="begin"/>
          </w:r>
          <w:r>
            <w:instrText xml:space="preserve"> PAGEREF _Toc30848 \h </w:instrText>
          </w:r>
          <w:r>
            <w:fldChar w:fldCharType="separate"/>
          </w:r>
          <w:r>
            <w:t>590</w:t>
          </w:r>
          <w:r>
            <w:fldChar w:fldCharType="end"/>
          </w:r>
          <w:r>
            <w:fldChar w:fldCharType="end"/>
          </w:r>
        </w:p>
        <w:p>
          <w:pPr>
            <w:pStyle w:val="11"/>
            <w:tabs>
              <w:tab w:val="right" w:leader="dot" w:pos="8306"/>
            </w:tabs>
          </w:pPr>
          <w:r>
            <w:fldChar w:fldCharType="begin"/>
          </w:r>
          <w:r>
            <w:instrText xml:space="preserve"> HYPERLINK \l _Toc19030 </w:instrText>
          </w:r>
          <w:r>
            <w:fldChar w:fldCharType="separate"/>
          </w:r>
          <w:r>
            <w:rPr>
              <w:rFonts w:hint="eastAsia" w:cs="宋体" w:asciiTheme="majorEastAsia" w:hAnsiTheme="majorEastAsia" w:eastAsiaTheme="majorEastAsia"/>
              <w:bCs/>
              <w:lang w:val="zh-CN"/>
            </w:rPr>
            <w:t>第二章考核评级指标和内容</w:t>
          </w:r>
          <w:r>
            <w:tab/>
          </w:r>
          <w:r>
            <w:fldChar w:fldCharType="begin"/>
          </w:r>
          <w:r>
            <w:instrText xml:space="preserve"> PAGEREF _Toc19030 \h </w:instrText>
          </w:r>
          <w:r>
            <w:fldChar w:fldCharType="separate"/>
          </w:r>
          <w:r>
            <w:t>590</w:t>
          </w:r>
          <w:r>
            <w:fldChar w:fldCharType="end"/>
          </w:r>
          <w:r>
            <w:fldChar w:fldCharType="end"/>
          </w:r>
        </w:p>
        <w:p>
          <w:pPr>
            <w:pStyle w:val="11"/>
            <w:tabs>
              <w:tab w:val="right" w:leader="dot" w:pos="8306"/>
            </w:tabs>
          </w:pPr>
          <w:r>
            <w:fldChar w:fldCharType="begin"/>
          </w:r>
          <w:r>
            <w:instrText xml:space="preserve"> HYPERLINK \l _Toc10401 </w:instrText>
          </w:r>
          <w:r>
            <w:fldChar w:fldCharType="separate"/>
          </w:r>
          <w:r>
            <w:rPr>
              <w:rFonts w:hint="eastAsia" w:cs="宋体" w:asciiTheme="majorEastAsia" w:hAnsiTheme="majorEastAsia" w:eastAsiaTheme="majorEastAsia"/>
              <w:bCs/>
              <w:lang w:val="zh-CN"/>
            </w:rPr>
            <w:t>第三章考核评级分工及实施</w:t>
          </w:r>
          <w:r>
            <w:tab/>
          </w:r>
          <w:r>
            <w:fldChar w:fldCharType="begin"/>
          </w:r>
          <w:r>
            <w:instrText xml:space="preserve"> PAGEREF _Toc10401 \h </w:instrText>
          </w:r>
          <w:r>
            <w:fldChar w:fldCharType="separate"/>
          </w:r>
          <w:r>
            <w:t>591</w:t>
          </w:r>
          <w:r>
            <w:fldChar w:fldCharType="end"/>
          </w:r>
          <w:r>
            <w:fldChar w:fldCharType="end"/>
          </w:r>
        </w:p>
        <w:p>
          <w:pPr>
            <w:pStyle w:val="11"/>
            <w:tabs>
              <w:tab w:val="right" w:leader="dot" w:pos="8306"/>
            </w:tabs>
          </w:pPr>
          <w:r>
            <w:fldChar w:fldCharType="begin"/>
          </w:r>
          <w:r>
            <w:instrText xml:space="preserve"> HYPERLINK \l _Toc27664 </w:instrText>
          </w:r>
          <w:r>
            <w:fldChar w:fldCharType="separate"/>
          </w:r>
          <w:r>
            <w:rPr>
              <w:rFonts w:hint="eastAsia" w:cs="宋体" w:asciiTheme="majorEastAsia" w:hAnsiTheme="majorEastAsia" w:eastAsiaTheme="majorEastAsia"/>
              <w:bCs/>
              <w:lang w:val="zh-CN"/>
            </w:rPr>
            <w:t>第四章考核评级结果及应用</w:t>
          </w:r>
          <w:r>
            <w:tab/>
          </w:r>
          <w:r>
            <w:fldChar w:fldCharType="begin"/>
          </w:r>
          <w:r>
            <w:instrText xml:space="preserve"> PAGEREF _Toc27664 \h </w:instrText>
          </w:r>
          <w:r>
            <w:fldChar w:fldCharType="separate"/>
          </w:r>
          <w:r>
            <w:t>592</w:t>
          </w:r>
          <w:r>
            <w:fldChar w:fldCharType="end"/>
          </w:r>
          <w:r>
            <w:fldChar w:fldCharType="end"/>
          </w:r>
        </w:p>
        <w:p>
          <w:pPr>
            <w:pStyle w:val="11"/>
            <w:tabs>
              <w:tab w:val="right" w:leader="dot" w:pos="8306"/>
            </w:tabs>
          </w:pPr>
          <w:r>
            <w:fldChar w:fldCharType="begin"/>
          </w:r>
          <w:r>
            <w:instrText xml:space="preserve"> HYPERLINK \l _Toc14787 </w:instrText>
          </w:r>
          <w:r>
            <w:fldChar w:fldCharType="separate"/>
          </w:r>
          <w:r>
            <w:rPr>
              <w:rFonts w:hint="eastAsia" w:cs="宋体" w:asciiTheme="majorEastAsia" w:hAnsiTheme="majorEastAsia" w:eastAsiaTheme="majorEastAsia"/>
              <w:bCs/>
              <w:lang w:val="zh-CN"/>
            </w:rPr>
            <w:t>第五章附则</w:t>
          </w:r>
          <w:r>
            <w:tab/>
          </w:r>
          <w:r>
            <w:fldChar w:fldCharType="begin"/>
          </w:r>
          <w:r>
            <w:instrText xml:space="preserve"> PAGEREF _Toc14787 \h </w:instrText>
          </w:r>
          <w:r>
            <w:fldChar w:fldCharType="separate"/>
          </w:r>
          <w:r>
            <w:t>595</w:t>
          </w:r>
          <w:r>
            <w:fldChar w:fldCharType="end"/>
          </w:r>
          <w:r>
            <w:fldChar w:fldCharType="end"/>
          </w:r>
        </w:p>
        <w:p>
          <w:pPr>
            <w:pStyle w:val="11"/>
            <w:tabs>
              <w:tab w:val="right" w:leader="dot" w:pos="8306"/>
            </w:tabs>
          </w:pPr>
          <w:r>
            <w:fldChar w:fldCharType="begin"/>
          </w:r>
          <w:r>
            <w:instrText xml:space="preserve"> HYPERLINK \l _Toc12250 </w:instrText>
          </w:r>
          <w:r>
            <w:fldChar w:fldCharType="separate"/>
          </w:r>
          <w:r>
            <w:rPr>
              <w:rFonts w:cs="宋体" w:asciiTheme="majorEastAsia" w:hAnsiTheme="majorEastAsia" w:eastAsiaTheme="majorEastAsia"/>
              <w:bCs/>
              <w:szCs w:val="24"/>
              <w:lang w:val="en-US" w:eastAsia="zh-CN" w:bidi="ar-SA"/>
            </w:rPr>
            <w:t>96.</w:t>
          </w:r>
          <w:r>
            <w:rPr>
              <w:rFonts w:hint="eastAsia"/>
            </w:rPr>
            <w:t>《中国银行保险监督管理委员会办公厅关于规范银行业金融机构跨省票据业务的通知》</w:t>
          </w:r>
          <w:r>
            <w:tab/>
          </w:r>
          <w:r>
            <w:fldChar w:fldCharType="begin"/>
          </w:r>
          <w:r>
            <w:instrText xml:space="preserve"> PAGEREF _Toc12250 \h </w:instrText>
          </w:r>
          <w:r>
            <w:fldChar w:fldCharType="separate"/>
          </w:r>
          <w:r>
            <w:t>599</w:t>
          </w:r>
          <w:r>
            <w:fldChar w:fldCharType="end"/>
          </w:r>
          <w:r>
            <w:fldChar w:fldCharType="end"/>
          </w:r>
        </w:p>
        <w:p>
          <w:pPr>
            <w:pStyle w:val="11"/>
            <w:tabs>
              <w:tab w:val="right" w:leader="dot" w:pos="8306"/>
            </w:tabs>
          </w:pPr>
          <w:r>
            <w:fldChar w:fldCharType="begin"/>
          </w:r>
          <w:r>
            <w:instrText xml:space="preserve"> HYPERLINK \l _Toc31349 </w:instrText>
          </w:r>
          <w:r>
            <w:fldChar w:fldCharType="separate"/>
          </w:r>
          <w:r>
            <w:rPr>
              <w:rFonts w:cs="宋体" w:asciiTheme="majorEastAsia" w:hAnsiTheme="majorEastAsia" w:eastAsiaTheme="majorEastAsia"/>
              <w:bCs/>
              <w:szCs w:val="24"/>
              <w:lang w:val="en-US" w:eastAsia="zh-CN" w:bidi="ar-SA"/>
            </w:rPr>
            <w:t>97.</w:t>
          </w:r>
          <w:r>
            <w:rPr>
              <w:rFonts w:hint="eastAsia"/>
            </w:rPr>
            <w:t>《银行业金融机构联合授信管理办法（试行）》</w:t>
          </w:r>
          <w:r>
            <w:tab/>
          </w:r>
          <w:r>
            <w:fldChar w:fldCharType="begin"/>
          </w:r>
          <w:r>
            <w:instrText xml:space="preserve"> PAGEREF _Toc31349 \h </w:instrText>
          </w:r>
          <w:r>
            <w:fldChar w:fldCharType="separate"/>
          </w:r>
          <w:r>
            <w:t>601</w:t>
          </w:r>
          <w:r>
            <w:fldChar w:fldCharType="end"/>
          </w:r>
          <w:r>
            <w:fldChar w:fldCharType="end"/>
          </w:r>
        </w:p>
        <w:p>
          <w:pPr>
            <w:pStyle w:val="11"/>
            <w:tabs>
              <w:tab w:val="right" w:leader="dot" w:pos="8306"/>
            </w:tabs>
          </w:pPr>
          <w:r>
            <w:fldChar w:fldCharType="begin"/>
          </w:r>
          <w:r>
            <w:instrText xml:space="preserve"> HYPERLINK \l _Toc29874 </w:instrText>
          </w:r>
          <w:r>
            <w:fldChar w:fldCharType="separate"/>
          </w:r>
          <w:r>
            <w:rPr>
              <w:rFonts w:hint="eastAsia" w:cs="宋体" w:asciiTheme="majorEastAsia" w:hAnsiTheme="majorEastAsia" w:eastAsiaTheme="majorEastAsia"/>
            </w:rPr>
            <w:t>发文机构：中国银行保险监督管理委员会(已撤销)</w:t>
          </w:r>
          <w:r>
            <w:tab/>
          </w:r>
          <w:r>
            <w:fldChar w:fldCharType="begin"/>
          </w:r>
          <w:r>
            <w:instrText xml:space="preserve"> PAGEREF _Toc29874 \h </w:instrText>
          </w:r>
          <w:r>
            <w:fldChar w:fldCharType="separate"/>
          </w:r>
          <w:r>
            <w:t>601</w:t>
          </w:r>
          <w:r>
            <w:fldChar w:fldCharType="end"/>
          </w:r>
          <w:r>
            <w:fldChar w:fldCharType="end"/>
          </w:r>
        </w:p>
        <w:p>
          <w:pPr>
            <w:pStyle w:val="11"/>
            <w:tabs>
              <w:tab w:val="right" w:leader="dot" w:pos="8306"/>
            </w:tabs>
          </w:pPr>
          <w:r>
            <w:fldChar w:fldCharType="begin"/>
          </w:r>
          <w:r>
            <w:instrText xml:space="preserve"> HYPERLINK \l _Toc5568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_Toc5568 \h </w:instrText>
          </w:r>
          <w:r>
            <w:fldChar w:fldCharType="separate"/>
          </w:r>
          <w:r>
            <w:t>601</w:t>
          </w:r>
          <w:r>
            <w:fldChar w:fldCharType="end"/>
          </w:r>
          <w:r>
            <w:fldChar w:fldCharType="end"/>
          </w:r>
        </w:p>
        <w:p>
          <w:pPr>
            <w:pStyle w:val="11"/>
            <w:tabs>
              <w:tab w:val="right" w:leader="dot" w:pos="8306"/>
            </w:tabs>
          </w:pPr>
          <w:r>
            <w:fldChar w:fldCharType="begin"/>
          </w:r>
          <w:r>
            <w:instrText xml:space="preserve"> HYPERLINK \l _Toc27003 </w:instrText>
          </w:r>
          <w:r>
            <w:fldChar w:fldCharType="separate"/>
          </w:r>
          <w:r>
            <w:rPr>
              <w:rFonts w:hint="eastAsia" w:cs="宋体" w:asciiTheme="majorEastAsia" w:hAnsiTheme="majorEastAsia" w:eastAsiaTheme="majorEastAsia"/>
              <w:bCs/>
            </w:rPr>
            <w:t>第二章联合授信管理架构</w:t>
          </w:r>
          <w:r>
            <w:tab/>
          </w:r>
          <w:r>
            <w:fldChar w:fldCharType="begin"/>
          </w:r>
          <w:r>
            <w:instrText xml:space="preserve"> PAGEREF _Toc27003 \h </w:instrText>
          </w:r>
          <w:r>
            <w:fldChar w:fldCharType="separate"/>
          </w:r>
          <w:r>
            <w:t>601</w:t>
          </w:r>
          <w:r>
            <w:fldChar w:fldCharType="end"/>
          </w:r>
          <w:r>
            <w:fldChar w:fldCharType="end"/>
          </w:r>
        </w:p>
        <w:p>
          <w:pPr>
            <w:pStyle w:val="11"/>
            <w:tabs>
              <w:tab w:val="right" w:leader="dot" w:pos="8306"/>
            </w:tabs>
          </w:pPr>
          <w:r>
            <w:fldChar w:fldCharType="begin"/>
          </w:r>
          <w:r>
            <w:instrText xml:space="preserve"> HYPERLINK \l _Toc22284 </w:instrText>
          </w:r>
          <w:r>
            <w:fldChar w:fldCharType="separate"/>
          </w:r>
          <w:r>
            <w:rPr>
              <w:rFonts w:hint="eastAsia" w:cs="宋体" w:asciiTheme="majorEastAsia" w:hAnsiTheme="majorEastAsia" w:eastAsiaTheme="majorEastAsia"/>
              <w:bCs/>
            </w:rPr>
            <w:t>第三章联合风险防控</w:t>
          </w:r>
          <w:r>
            <w:tab/>
          </w:r>
          <w:r>
            <w:fldChar w:fldCharType="begin"/>
          </w:r>
          <w:r>
            <w:instrText xml:space="preserve"> PAGEREF _Toc22284 \h </w:instrText>
          </w:r>
          <w:r>
            <w:fldChar w:fldCharType="separate"/>
          </w:r>
          <w:r>
            <w:t>605</w:t>
          </w:r>
          <w:r>
            <w:fldChar w:fldCharType="end"/>
          </w:r>
          <w:r>
            <w:fldChar w:fldCharType="end"/>
          </w:r>
        </w:p>
        <w:p>
          <w:pPr>
            <w:pStyle w:val="11"/>
            <w:tabs>
              <w:tab w:val="right" w:leader="dot" w:pos="8306"/>
            </w:tabs>
          </w:pPr>
          <w:r>
            <w:fldChar w:fldCharType="begin"/>
          </w:r>
          <w:r>
            <w:instrText xml:space="preserve"> HYPERLINK \l _Toc27586 </w:instrText>
          </w:r>
          <w:r>
            <w:fldChar w:fldCharType="separate"/>
          </w:r>
          <w:r>
            <w:rPr>
              <w:rFonts w:hint="eastAsia" w:cs="宋体" w:asciiTheme="majorEastAsia" w:hAnsiTheme="majorEastAsia" w:eastAsiaTheme="majorEastAsia"/>
              <w:bCs/>
            </w:rPr>
            <w:t>第四章联合风险预警处置</w:t>
          </w:r>
          <w:r>
            <w:tab/>
          </w:r>
          <w:r>
            <w:fldChar w:fldCharType="begin"/>
          </w:r>
          <w:r>
            <w:instrText xml:space="preserve"> PAGEREF _Toc27586 \h </w:instrText>
          </w:r>
          <w:r>
            <w:fldChar w:fldCharType="separate"/>
          </w:r>
          <w:r>
            <w:t>606</w:t>
          </w:r>
          <w:r>
            <w:fldChar w:fldCharType="end"/>
          </w:r>
          <w:r>
            <w:fldChar w:fldCharType="end"/>
          </w:r>
        </w:p>
        <w:p>
          <w:pPr>
            <w:pStyle w:val="11"/>
            <w:tabs>
              <w:tab w:val="right" w:leader="dot" w:pos="8306"/>
            </w:tabs>
          </w:pPr>
          <w:r>
            <w:fldChar w:fldCharType="begin"/>
          </w:r>
          <w:r>
            <w:instrText xml:space="preserve"> HYPERLINK \l _Toc3666 </w:instrText>
          </w:r>
          <w:r>
            <w:fldChar w:fldCharType="separate"/>
          </w:r>
          <w:r>
            <w:rPr>
              <w:rFonts w:hint="eastAsia" w:cs="宋体" w:asciiTheme="majorEastAsia" w:hAnsiTheme="majorEastAsia" w:eastAsiaTheme="majorEastAsia"/>
              <w:bCs/>
            </w:rPr>
            <w:t>第五章联合惩戒及监督管理</w:t>
          </w:r>
          <w:r>
            <w:tab/>
          </w:r>
          <w:r>
            <w:fldChar w:fldCharType="begin"/>
          </w:r>
          <w:r>
            <w:instrText xml:space="preserve"> PAGEREF _Toc3666 \h </w:instrText>
          </w:r>
          <w:r>
            <w:fldChar w:fldCharType="separate"/>
          </w:r>
          <w:r>
            <w:t>607</w:t>
          </w:r>
          <w:r>
            <w:fldChar w:fldCharType="end"/>
          </w:r>
          <w:r>
            <w:fldChar w:fldCharType="end"/>
          </w:r>
        </w:p>
        <w:p>
          <w:pPr>
            <w:pStyle w:val="11"/>
            <w:tabs>
              <w:tab w:val="right" w:leader="dot" w:pos="8306"/>
            </w:tabs>
          </w:pPr>
          <w:r>
            <w:fldChar w:fldCharType="begin"/>
          </w:r>
          <w:r>
            <w:instrText xml:space="preserve"> HYPERLINK \l _Toc22968 </w:instrText>
          </w:r>
          <w:r>
            <w:fldChar w:fldCharType="separate"/>
          </w:r>
          <w:r>
            <w:rPr>
              <w:rFonts w:hint="eastAsia" w:cs="宋体" w:asciiTheme="majorEastAsia" w:hAnsiTheme="majorEastAsia" w:eastAsiaTheme="majorEastAsia"/>
              <w:bCs/>
            </w:rPr>
            <w:t>第六章附则</w:t>
          </w:r>
          <w:r>
            <w:tab/>
          </w:r>
          <w:r>
            <w:fldChar w:fldCharType="begin"/>
          </w:r>
          <w:r>
            <w:instrText xml:space="preserve"> PAGEREF _Toc22968 \h </w:instrText>
          </w:r>
          <w:r>
            <w:fldChar w:fldCharType="separate"/>
          </w:r>
          <w:r>
            <w:t>608</w:t>
          </w:r>
          <w:r>
            <w:fldChar w:fldCharType="end"/>
          </w:r>
          <w:r>
            <w:fldChar w:fldCharType="end"/>
          </w:r>
        </w:p>
        <w:p>
          <w:pPr>
            <w:pStyle w:val="11"/>
            <w:tabs>
              <w:tab w:val="right" w:leader="dot" w:pos="8306"/>
            </w:tabs>
          </w:pPr>
          <w:r>
            <w:fldChar w:fldCharType="begin"/>
          </w:r>
          <w:r>
            <w:instrText xml:space="preserve"> HYPERLINK \l _Toc7861 </w:instrText>
          </w:r>
          <w:r>
            <w:fldChar w:fldCharType="separate"/>
          </w:r>
          <w:r>
            <w:rPr>
              <w:rFonts w:cs="宋体" w:asciiTheme="majorEastAsia" w:hAnsiTheme="majorEastAsia" w:eastAsiaTheme="majorEastAsia"/>
              <w:bCs/>
              <w:szCs w:val="24"/>
              <w:lang w:val="en-US" w:eastAsia="zh-CN" w:bidi="ar-SA"/>
            </w:rPr>
            <w:t>98.</w:t>
          </w:r>
          <w:r>
            <w:rPr>
              <w:rFonts w:hint="eastAsia"/>
            </w:rPr>
            <w:t>中国人民银行关于修订《电子商业汇票系统管理办法》等四项制度的通知</w:t>
          </w:r>
          <w:r>
            <w:tab/>
          </w:r>
          <w:r>
            <w:fldChar w:fldCharType="begin"/>
          </w:r>
          <w:r>
            <w:instrText xml:space="preserve"> PAGEREF _Toc7861 \h </w:instrText>
          </w:r>
          <w:r>
            <w:fldChar w:fldCharType="separate"/>
          </w:r>
          <w:r>
            <w:t>609</w:t>
          </w:r>
          <w:r>
            <w:fldChar w:fldCharType="end"/>
          </w:r>
          <w:r>
            <w:fldChar w:fldCharType="end"/>
          </w:r>
        </w:p>
        <w:p>
          <w:pPr>
            <w:pStyle w:val="11"/>
            <w:tabs>
              <w:tab w:val="right" w:leader="dot" w:pos="8306"/>
            </w:tabs>
          </w:pPr>
          <w:r>
            <w:fldChar w:fldCharType="begin"/>
          </w:r>
          <w:r>
            <w:instrText xml:space="preserve"> HYPERLINK \l _Toc22751 </w:instrText>
          </w:r>
          <w:r>
            <w:fldChar w:fldCharType="separate"/>
          </w:r>
          <w:r>
            <w:rPr>
              <w:rFonts w:hint="eastAsia" w:cs="宋体" w:asciiTheme="majorEastAsia" w:hAnsiTheme="majorEastAsia" w:eastAsiaTheme="majorEastAsia"/>
            </w:rPr>
            <w:t>中国人民银行</w:t>
          </w:r>
          <w:r>
            <w:tab/>
          </w:r>
          <w:r>
            <w:fldChar w:fldCharType="begin"/>
          </w:r>
          <w:r>
            <w:instrText xml:space="preserve"> PAGEREF _Toc22751 \h </w:instrText>
          </w:r>
          <w:r>
            <w:fldChar w:fldCharType="separate"/>
          </w:r>
          <w:r>
            <w:t>609</w:t>
          </w:r>
          <w:r>
            <w:fldChar w:fldCharType="end"/>
          </w:r>
          <w:r>
            <w:fldChar w:fldCharType="end"/>
          </w:r>
        </w:p>
        <w:p>
          <w:pPr>
            <w:pStyle w:val="11"/>
            <w:tabs>
              <w:tab w:val="right" w:leader="dot" w:pos="8306"/>
            </w:tabs>
          </w:pPr>
          <w:r>
            <w:fldChar w:fldCharType="begin"/>
          </w:r>
          <w:r>
            <w:instrText xml:space="preserve"> HYPERLINK \l _Toc21234 </w:instrText>
          </w:r>
          <w:r>
            <w:fldChar w:fldCharType="separate"/>
          </w:r>
          <w:r>
            <w:rPr>
              <w:rFonts w:hint="eastAsia" w:cs="宋体" w:asciiTheme="majorEastAsia" w:hAnsiTheme="majorEastAsia" w:eastAsiaTheme="majorEastAsia"/>
            </w:rPr>
            <w:t>第一章　总则</w:t>
          </w:r>
          <w:r>
            <w:tab/>
          </w:r>
          <w:r>
            <w:fldChar w:fldCharType="begin"/>
          </w:r>
          <w:r>
            <w:instrText xml:space="preserve"> PAGEREF _Toc21234 \h </w:instrText>
          </w:r>
          <w:r>
            <w:fldChar w:fldCharType="separate"/>
          </w:r>
          <w:r>
            <w:t>610</w:t>
          </w:r>
          <w:r>
            <w:fldChar w:fldCharType="end"/>
          </w:r>
          <w:r>
            <w:fldChar w:fldCharType="end"/>
          </w:r>
        </w:p>
        <w:p>
          <w:pPr>
            <w:pStyle w:val="11"/>
            <w:tabs>
              <w:tab w:val="right" w:leader="dot" w:pos="8306"/>
            </w:tabs>
          </w:pPr>
          <w:r>
            <w:fldChar w:fldCharType="begin"/>
          </w:r>
          <w:r>
            <w:instrText xml:space="preserve"> HYPERLINK \l _Toc24378 </w:instrText>
          </w:r>
          <w:r>
            <w:fldChar w:fldCharType="separate"/>
          </w:r>
          <w:r>
            <w:rPr>
              <w:rFonts w:hint="eastAsia" w:cs="宋体" w:asciiTheme="majorEastAsia" w:hAnsiTheme="majorEastAsia" w:eastAsiaTheme="majorEastAsia"/>
            </w:rPr>
            <w:t>第二章　准入、变更和退出</w:t>
          </w:r>
          <w:r>
            <w:tab/>
          </w:r>
          <w:r>
            <w:fldChar w:fldCharType="begin"/>
          </w:r>
          <w:r>
            <w:instrText xml:space="preserve"> PAGEREF _Toc24378 \h </w:instrText>
          </w:r>
          <w:r>
            <w:fldChar w:fldCharType="separate"/>
          </w:r>
          <w:r>
            <w:t>612</w:t>
          </w:r>
          <w:r>
            <w:fldChar w:fldCharType="end"/>
          </w:r>
          <w:r>
            <w:fldChar w:fldCharType="end"/>
          </w:r>
        </w:p>
        <w:p>
          <w:pPr>
            <w:pStyle w:val="11"/>
            <w:tabs>
              <w:tab w:val="right" w:leader="dot" w:pos="8306"/>
            </w:tabs>
          </w:pPr>
          <w:r>
            <w:fldChar w:fldCharType="begin"/>
          </w:r>
          <w:r>
            <w:instrText xml:space="preserve"> HYPERLINK \l _Toc11850 </w:instrText>
          </w:r>
          <w:r>
            <w:fldChar w:fldCharType="separate"/>
          </w:r>
          <w:r>
            <w:rPr>
              <w:rFonts w:hint="eastAsia" w:cs="宋体" w:asciiTheme="majorEastAsia" w:hAnsiTheme="majorEastAsia" w:eastAsiaTheme="majorEastAsia"/>
            </w:rPr>
            <w:t>上海票据交易所确定退出日期后，在电子商业汇票系统中进行维护。</w:t>
          </w:r>
          <w:r>
            <w:tab/>
          </w:r>
          <w:r>
            <w:fldChar w:fldCharType="begin"/>
          </w:r>
          <w:r>
            <w:instrText xml:space="preserve"> PAGEREF _Toc11850 \h </w:instrText>
          </w:r>
          <w:r>
            <w:fldChar w:fldCharType="separate"/>
          </w:r>
          <w:r>
            <w:t>613</w:t>
          </w:r>
          <w:r>
            <w:fldChar w:fldCharType="end"/>
          </w:r>
          <w:r>
            <w:fldChar w:fldCharType="end"/>
          </w:r>
        </w:p>
        <w:p>
          <w:pPr>
            <w:pStyle w:val="11"/>
            <w:tabs>
              <w:tab w:val="right" w:leader="dot" w:pos="8306"/>
            </w:tabs>
          </w:pPr>
          <w:r>
            <w:fldChar w:fldCharType="begin"/>
          </w:r>
          <w:r>
            <w:instrText xml:space="preserve"> HYPERLINK \l _Toc31502 </w:instrText>
          </w:r>
          <w:r>
            <w:fldChar w:fldCharType="separate"/>
          </w:r>
          <w:r>
            <w:rPr>
              <w:rFonts w:hint="eastAsia" w:cs="宋体" w:asciiTheme="majorEastAsia" w:hAnsiTheme="majorEastAsia" w:eastAsiaTheme="majorEastAsia"/>
            </w:rPr>
            <w:t>第四章　业务处理</w:t>
          </w:r>
          <w:r>
            <w:tab/>
          </w:r>
          <w:r>
            <w:fldChar w:fldCharType="begin"/>
          </w:r>
          <w:r>
            <w:instrText xml:space="preserve"> PAGEREF _Toc31502 \h </w:instrText>
          </w:r>
          <w:r>
            <w:fldChar w:fldCharType="separate"/>
          </w:r>
          <w:r>
            <w:t>615</w:t>
          </w:r>
          <w:r>
            <w:fldChar w:fldCharType="end"/>
          </w:r>
          <w:r>
            <w:fldChar w:fldCharType="end"/>
          </w:r>
        </w:p>
        <w:p>
          <w:pPr>
            <w:pStyle w:val="11"/>
            <w:tabs>
              <w:tab w:val="right" w:leader="dot" w:pos="8306"/>
            </w:tabs>
          </w:pPr>
          <w:r>
            <w:fldChar w:fldCharType="begin"/>
          </w:r>
          <w:r>
            <w:instrText xml:space="preserve"> HYPERLINK \l _Toc26072 </w:instrText>
          </w:r>
          <w:r>
            <w:fldChar w:fldCharType="separate"/>
          </w:r>
          <w:r>
            <w:rPr>
              <w:rFonts w:hint="eastAsia" w:cs="宋体" w:asciiTheme="majorEastAsia" w:hAnsiTheme="majorEastAsia" w:eastAsiaTheme="majorEastAsia"/>
            </w:rPr>
            <w:t>第五章　故障处理</w:t>
          </w:r>
          <w:r>
            <w:tab/>
          </w:r>
          <w:r>
            <w:fldChar w:fldCharType="begin"/>
          </w:r>
          <w:r>
            <w:instrText xml:space="preserve"> PAGEREF _Toc26072 \h </w:instrText>
          </w:r>
          <w:r>
            <w:fldChar w:fldCharType="separate"/>
          </w:r>
          <w:r>
            <w:t>616</w:t>
          </w:r>
          <w:r>
            <w:fldChar w:fldCharType="end"/>
          </w:r>
          <w:r>
            <w:fldChar w:fldCharType="end"/>
          </w:r>
        </w:p>
        <w:p>
          <w:pPr>
            <w:pStyle w:val="11"/>
            <w:tabs>
              <w:tab w:val="right" w:leader="dot" w:pos="8306"/>
            </w:tabs>
          </w:pPr>
          <w:r>
            <w:fldChar w:fldCharType="begin"/>
          </w:r>
          <w:r>
            <w:instrText xml:space="preserve"> HYPERLINK \l _Toc30053 </w:instrText>
          </w:r>
          <w:r>
            <w:fldChar w:fldCharType="separate"/>
          </w:r>
          <w:r>
            <w:rPr>
              <w:rFonts w:hint="eastAsia" w:cs="宋体" w:asciiTheme="majorEastAsia" w:hAnsiTheme="majorEastAsia" w:eastAsiaTheme="majorEastAsia"/>
            </w:rPr>
            <w:t>第六章　附则</w:t>
          </w:r>
          <w:r>
            <w:tab/>
          </w:r>
          <w:r>
            <w:fldChar w:fldCharType="begin"/>
          </w:r>
          <w:r>
            <w:instrText xml:space="preserve"> PAGEREF _Toc30053 \h </w:instrText>
          </w:r>
          <w:r>
            <w:fldChar w:fldCharType="separate"/>
          </w:r>
          <w:r>
            <w:t>618</w:t>
          </w:r>
          <w:r>
            <w:fldChar w:fldCharType="end"/>
          </w:r>
          <w:r>
            <w:fldChar w:fldCharType="end"/>
          </w:r>
        </w:p>
        <w:p>
          <w:pPr>
            <w:pStyle w:val="11"/>
            <w:tabs>
              <w:tab w:val="right" w:leader="dot" w:pos="8306"/>
            </w:tabs>
          </w:pPr>
          <w:r>
            <w:fldChar w:fldCharType="begin"/>
          </w:r>
          <w:r>
            <w:instrText xml:space="preserve"> HYPERLINK \l _Toc19821 </w:instrText>
          </w:r>
          <w:r>
            <w:fldChar w:fldCharType="separate"/>
          </w:r>
          <w:r>
            <w:rPr>
              <w:rFonts w:hint="eastAsia" w:cs="宋体" w:asciiTheme="majorEastAsia" w:hAnsiTheme="majorEastAsia" w:eastAsiaTheme="majorEastAsia"/>
            </w:rPr>
            <w:t>第一章　总则</w:t>
          </w:r>
          <w:r>
            <w:tab/>
          </w:r>
          <w:r>
            <w:fldChar w:fldCharType="begin"/>
          </w:r>
          <w:r>
            <w:instrText xml:space="preserve"> PAGEREF _Toc19821 \h </w:instrText>
          </w:r>
          <w:r>
            <w:fldChar w:fldCharType="separate"/>
          </w:r>
          <w:r>
            <w:t>619</w:t>
          </w:r>
          <w:r>
            <w:fldChar w:fldCharType="end"/>
          </w:r>
          <w:r>
            <w:fldChar w:fldCharType="end"/>
          </w:r>
        </w:p>
        <w:p>
          <w:pPr>
            <w:pStyle w:val="11"/>
            <w:tabs>
              <w:tab w:val="right" w:leader="dot" w:pos="8306"/>
            </w:tabs>
          </w:pPr>
          <w:r>
            <w:fldChar w:fldCharType="begin"/>
          </w:r>
          <w:r>
            <w:instrText xml:space="preserve"> HYPERLINK \l _Toc3575 </w:instrText>
          </w:r>
          <w:r>
            <w:fldChar w:fldCharType="separate"/>
          </w:r>
          <w:r>
            <w:rPr>
              <w:rFonts w:hint="eastAsia" w:cs="宋体" w:asciiTheme="majorEastAsia" w:hAnsiTheme="majorEastAsia" w:eastAsiaTheme="majorEastAsia"/>
            </w:rPr>
            <w:t>再贴现系统日常运行部门负责再贴现系统的日常运行、维护。</w:t>
          </w:r>
          <w:r>
            <w:tab/>
          </w:r>
          <w:r>
            <w:fldChar w:fldCharType="begin"/>
          </w:r>
          <w:r>
            <w:instrText xml:space="preserve"> PAGEREF _Toc3575 \h </w:instrText>
          </w:r>
          <w:r>
            <w:fldChar w:fldCharType="separate"/>
          </w:r>
          <w:r>
            <w:t>620</w:t>
          </w:r>
          <w:r>
            <w:fldChar w:fldCharType="end"/>
          </w:r>
          <w:r>
            <w:fldChar w:fldCharType="end"/>
          </w:r>
        </w:p>
        <w:p>
          <w:pPr>
            <w:pStyle w:val="11"/>
            <w:tabs>
              <w:tab w:val="right" w:leader="dot" w:pos="8306"/>
            </w:tabs>
          </w:pPr>
          <w:r>
            <w:fldChar w:fldCharType="begin"/>
          </w:r>
          <w:r>
            <w:instrText xml:space="preserve"> HYPERLINK \l _Toc7268 </w:instrText>
          </w:r>
          <w:r>
            <w:fldChar w:fldCharType="separate"/>
          </w:r>
          <w:r>
            <w:rPr>
              <w:rFonts w:hint="eastAsia" w:cs="宋体" w:asciiTheme="majorEastAsia" w:hAnsiTheme="majorEastAsia" w:eastAsiaTheme="majorEastAsia"/>
            </w:rPr>
            <w:t>第二章　岗位管理</w:t>
          </w:r>
          <w:r>
            <w:tab/>
          </w:r>
          <w:r>
            <w:fldChar w:fldCharType="begin"/>
          </w:r>
          <w:r>
            <w:instrText xml:space="preserve"> PAGEREF _Toc7268 \h </w:instrText>
          </w:r>
          <w:r>
            <w:fldChar w:fldCharType="separate"/>
          </w:r>
          <w:r>
            <w:t>620</w:t>
          </w:r>
          <w:r>
            <w:fldChar w:fldCharType="end"/>
          </w:r>
          <w:r>
            <w:fldChar w:fldCharType="end"/>
          </w:r>
        </w:p>
        <w:p>
          <w:pPr>
            <w:pStyle w:val="11"/>
            <w:tabs>
              <w:tab w:val="right" w:leader="dot" w:pos="8306"/>
            </w:tabs>
          </w:pPr>
          <w:r>
            <w:fldChar w:fldCharType="begin"/>
          </w:r>
          <w:r>
            <w:instrText xml:space="preserve"> HYPERLINK \l _Toc17198 </w:instrText>
          </w:r>
          <w:r>
            <w:fldChar w:fldCharType="separate"/>
          </w:r>
          <w:r>
            <w:rPr>
              <w:rFonts w:hint="eastAsia" w:cs="宋体" w:asciiTheme="majorEastAsia" w:hAnsiTheme="majorEastAsia" w:eastAsiaTheme="majorEastAsia"/>
            </w:rPr>
            <w:t>第三章　操作管理</w:t>
          </w:r>
          <w:r>
            <w:tab/>
          </w:r>
          <w:r>
            <w:fldChar w:fldCharType="begin"/>
          </w:r>
          <w:r>
            <w:instrText xml:space="preserve"> PAGEREF _Toc17198 \h </w:instrText>
          </w:r>
          <w:r>
            <w:fldChar w:fldCharType="separate"/>
          </w:r>
          <w:r>
            <w:t>622</w:t>
          </w:r>
          <w:r>
            <w:fldChar w:fldCharType="end"/>
          </w:r>
          <w:r>
            <w:fldChar w:fldCharType="end"/>
          </w:r>
        </w:p>
        <w:p>
          <w:pPr>
            <w:pStyle w:val="11"/>
            <w:tabs>
              <w:tab w:val="right" w:leader="dot" w:pos="8306"/>
            </w:tabs>
          </w:pPr>
          <w:r>
            <w:fldChar w:fldCharType="begin"/>
          </w:r>
          <w:r>
            <w:instrText xml:space="preserve"> HYPERLINK \l _Toc21010 </w:instrText>
          </w:r>
          <w:r>
            <w:fldChar w:fldCharType="separate"/>
          </w:r>
          <w:r>
            <w:rPr>
              <w:rFonts w:hint="eastAsia" w:cs="宋体" w:asciiTheme="majorEastAsia" w:hAnsiTheme="majorEastAsia" w:eastAsiaTheme="majorEastAsia"/>
            </w:rPr>
            <w:t>第四章　维护管理</w:t>
          </w:r>
          <w:r>
            <w:tab/>
          </w:r>
          <w:r>
            <w:fldChar w:fldCharType="begin"/>
          </w:r>
          <w:r>
            <w:instrText xml:space="preserve"> PAGEREF _Toc21010 \h </w:instrText>
          </w:r>
          <w:r>
            <w:fldChar w:fldCharType="separate"/>
          </w:r>
          <w:r>
            <w:t>623</w:t>
          </w:r>
          <w:r>
            <w:fldChar w:fldCharType="end"/>
          </w:r>
          <w:r>
            <w:fldChar w:fldCharType="end"/>
          </w:r>
        </w:p>
        <w:p>
          <w:pPr>
            <w:pStyle w:val="11"/>
            <w:tabs>
              <w:tab w:val="right" w:leader="dot" w:pos="8306"/>
            </w:tabs>
          </w:pPr>
          <w:r>
            <w:fldChar w:fldCharType="begin"/>
          </w:r>
          <w:r>
            <w:instrText xml:space="preserve"> HYPERLINK \l _Toc28498 </w:instrText>
          </w:r>
          <w:r>
            <w:fldChar w:fldCharType="separate"/>
          </w:r>
          <w:r>
            <w:rPr>
              <w:rFonts w:hint="eastAsia" w:cs="宋体" w:asciiTheme="majorEastAsia" w:hAnsiTheme="majorEastAsia" w:eastAsiaTheme="majorEastAsia"/>
            </w:rPr>
            <w:t>第五章　安全管理</w:t>
          </w:r>
          <w:r>
            <w:tab/>
          </w:r>
          <w:r>
            <w:fldChar w:fldCharType="begin"/>
          </w:r>
          <w:r>
            <w:instrText xml:space="preserve"> PAGEREF _Toc28498 \h </w:instrText>
          </w:r>
          <w:r>
            <w:fldChar w:fldCharType="separate"/>
          </w:r>
          <w:r>
            <w:t>625</w:t>
          </w:r>
          <w:r>
            <w:fldChar w:fldCharType="end"/>
          </w:r>
          <w:r>
            <w:fldChar w:fldCharType="end"/>
          </w:r>
        </w:p>
        <w:p>
          <w:pPr>
            <w:pStyle w:val="11"/>
            <w:tabs>
              <w:tab w:val="right" w:leader="dot" w:pos="8306"/>
            </w:tabs>
          </w:pPr>
          <w:r>
            <w:fldChar w:fldCharType="begin"/>
          </w:r>
          <w:r>
            <w:instrText xml:space="preserve"> HYPERLINK \l _Toc32445 </w:instrText>
          </w:r>
          <w:r>
            <w:fldChar w:fldCharType="separate"/>
          </w:r>
          <w:r>
            <w:rPr>
              <w:rFonts w:hint="eastAsia" w:cs="宋体" w:asciiTheme="majorEastAsia" w:hAnsiTheme="majorEastAsia" w:eastAsiaTheme="majorEastAsia"/>
            </w:rPr>
            <w:t>第六章　机房管理</w:t>
          </w:r>
          <w:r>
            <w:tab/>
          </w:r>
          <w:r>
            <w:fldChar w:fldCharType="begin"/>
          </w:r>
          <w:r>
            <w:instrText xml:space="preserve"> PAGEREF _Toc32445 \h </w:instrText>
          </w:r>
          <w:r>
            <w:fldChar w:fldCharType="separate"/>
          </w:r>
          <w:r>
            <w:t>626</w:t>
          </w:r>
          <w:r>
            <w:fldChar w:fldCharType="end"/>
          </w:r>
          <w:r>
            <w:fldChar w:fldCharType="end"/>
          </w:r>
        </w:p>
        <w:p>
          <w:pPr>
            <w:pStyle w:val="11"/>
            <w:tabs>
              <w:tab w:val="right" w:leader="dot" w:pos="8306"/>
            </w:tabs>
          </w:pPr>
          <w:r>
            <w:fldChar w:fldCharType="begin"/>
          </w:r>
          <w:r>
            <w:instrText xml:space="preserve"> HYPERLINK \l _Toc3116 </w:instrText>
          </w:r>
          <w:r>
            <w:fldChar w:fldCharType="separate"/>
          </w:r>
          <w:r>
            <w:rPr>
              <w:rFonts w:hint="eastAsia" w:cs="宋体" w:asciiTheme="majorEastAsia" w:hAnsiTheme="majorEastAsia" w:eastAsiaTheme="majorEastAsia"/>
            </w:rPr>
            <w:t>第七章　设备管理</w:t>
          </w:r>
          <w:r>
            <w:tab/>
          </w:r>
          <w:r>
            <w:fldChar w:fldCharType="begin"/>
          </w:r>
          <w:r>
            <w:instrText xml:space="preserve"> PAGEREF _Toc3116 \h </w:instrText>
          </w:r>
          <w:r>
            <w:fldChar w:fldCharType="separate"/>
          </w:r>
          <w:r>
            <w:t>627</w:t>
          </w:r>
          <w:r>
            <w:fldChar w:fldCharType="end"/>
          </w:r>
          <w:r>
            <w:fldChar w:fldCharType="end"/>
          </w:r>
        </w:p>
        <w:p>
          <w:pPr>
            <w:pStyle w:val="11"/>
            <w:tabs>
              <w:tab w:val="right" w:leader="dot" w:pos="8306"/>
            </w:tabs>
          </w:pPr>
          <w:r>
            <w:fldChar w:fldCharType="begin"/>
          </w:r>
          <w:r>
            <w:instrText xml:space="preserve"> HYPERLINK \l _Toc7486 </w:instrText>
          </w:r>
          <w:r>
            <w:fldChar w:fldCharType="separate"/>
          </w:r>
          <w:r>
            <w:rPr>
              <w:rFonts w:hint="eastAsia" w:cs="宋体" w:asciiTheme="majorEastAsia" w:hAnsiTheme="majorEastAsia" w:eastAsiaTheme="majorEastAsia"/>
            </w:rPr>
            <w:t>第八章　文档管理</w:t>
          </w:r>
          <w:r>
            <w:tab/>
          </w:r>
          <w:r>
            <w:fldChar w:fldCharType="begin"/>
          </w:r>
          <w:r>
            <w:instrText xml:space="preserve"> PAGEREF _Toc7486 \h </w:instrText>
          </w:r>
          <w:r>
            <w:fldChar w:fldCharType="separate"/>
          </w:r>
          <w:r>
            <w:t>628</w:t>
          </w:r>
          <w:r>
            <w:fldChar w:fldCharType="end"/>
          </w:r>
          <w:r>
            <w:fldChar w:fldCharType="end"/>
          </w:r>
        </w:p>
        <w:p>
          <w:pPr>
            <w:pStyle w:val="11"/>
            <w:tabs>
              <w:tab w:val="right" w:leader="dot" w:pos="8306"/>
            </w:tabs>
          </w:pPr>
          <w:r>
            <w:fldChar w:fldCharType="begin"/>
          </w:r>
          <w:r>
            <w:instrText xml:space="preserve"> HYPERLINK \l _Toc14492 </w:instrText>
          </w:r>
          <w:r>
            <w:fldChar w:fldCharType="separate"/>
          </w:r>
          <w:r>
            <w:rPr>
              <w:rFonts w:hint="eastAsia" w:cs="宋体" w:asciiTheme="majorEastAsia" w:hAnsiTheme="majorEastAsia" w:eastAsiaTheme="majorEastAsia"/>
            </w:rPr>
            <w:t>第九章　故障管理</w:t>
          </w:r>
          <w:r>
            <w:tab/>
          </w:r>
          <w:r>
            <w:fldChar w:fldCharType="begin"/>
          </w:r>
          <w:r>
            <w:instrText xml:space="preserve"> PAGEREF _Toc14492 \h </w:instrText>
          </w:r>
          <w:r>
            <w:fldChar w:fldCharType="separate"/>
          </w:r>
          <w:r>
            <w:t>628</w:t>
          </w:r>
          <w:r>
            <w:fldChar w:fldCharType="end"/>
          </w:r>
          <w:r>
            <w:fldChar w:fldCharType="end"/>
          </w:r>
        </w:p>
        <w:p>
          <w:pPr>
            <w:pStyle w:val="11"/>
            <w:tabs>
              <w:tab w:val="right" w:leader="dot" w:pos="8306"/>
            </w:tabs>
          </w:pPr>
          <w:r>
            <w:fldChar w:fldCharType="begin"/>
          </w:r>
          <w:r>
            <w:instrText xml:space="preserve"> HYPERLINK \l _Toc19128 </w:instrText>
          </w:r>
          <w:r>
            <w:fldChar w:fldCharType="separate"/>
          </w:r>
          <w:r>
            <w:rPr>
              <w:rFonts w:hint="eastAsia" w:cs="宋体" w:asciiTheme="majorEastAsia" w:hAnsiTheme="majorEastAsia" w:eastAsiaTheme="majorEastAsia"/>
            </w:rPr>
            <w:t>第十章　纪律与责任</w:t>
          </w:r>
          <w:r>
            <w:tab/>
          </w:r>
          <w:r>
            <w:fldChar w:fldCharType="begin"/>
          </w:r>
          <w:r>
            <w:instrText xml:space="preserve"> PAGEREF _Toc19128 \h </w:instrText>
          </w:r>
          <w:r>
            <w:fldChar w:fldCharType="separate"/>
          </w:r>
          <w:r>
            <w:t>629</w:t>
          </w:r>
          <w:r>
            <w:fldChar w:fldCharType="end"/>
          </w:r>
          <w:r>
            <w:fldChar w:fldCharType="end"/>
          </w:r>
        </w:p>
        <w:p>
          <w:pPr>
            <w:pStyle w:val="11"/>
            <w:tabs>
              <w:tab w:val="right" w:leader="dot" w:pos="8306"/>
            </w:tabs>
          </w:pPr>
          <w:r>
            <w:fldChar w:fldCharType="begin"/>
          </w:r>
          <w:r>
            <w:instrText xml:space="preserve"> HYPERLINK \l _Toc14321 </w:instrText>
          </w:r>
          <w:r>
            <w:fldChar w:fldCharType="separate"/>
          </w:r>
          <w:r>
            <w:rPr>
              <w:rFonts w:hint="eastAsia" w:cs="宋体" w:asciiTheme="majorEastAsia" w:hAnsiTheme="majorEastAsia" w:eastAsiaTheme="majorEastAsia"/>
            </w:rPr>
            <w:t>第十一章　附则</w:t>
          </w:r>
          <w:r>
            <w:tab/>
          </w:r>
          <w:r>
            <w:fldChar w:fldCharType="begin"/>
          </w:r>
          <w:r>
            <w:instrText xml:space="preserve"> PAGEREF _Toc14321 \h </w:instrText>
          </w:r>
          <w:r>
            <w:fldChar w:fldCharType="separate"/>
          </w:r>
          <w:r>
            <w:t>631</w:t>
          </w:r>
          <w:r>
            <w:fldChar w:fldCharType="end"/>
          </w:r>
          <w:r>
            <w:fldChar w:fldCharType="end"/>
          </w:r>
        </w:p>
        <w:p>
          <w:pPr>
            <w:pStyle w:val="11"/>
            <w:tabs>
              <w:tab w:val="right" w:leader="dot" w:pos="8306"/>
            </w:tabs>
          </w:pPr>
          <w:r>
            <w:fldChar w:fldCharType="begin"/>
          </w:r>
          <w:r>
            <w:instrText xml:space="preserve"> HYPERLINK \l _Toc21773 </w:instrText>
          </w:r>
          <w:r>
            <w:fldChar w:fldCharType="separate"/>
          </w:r>
          <w:r>
            <w:rPr>
              <w:rFonts w:hint="eastAsia" w:cs="宋体" w:asciiTheme="majorEastAsia" w:hAnsiTheme="majorEastAsia" w:eastAsiaTheme="majorEastAsia"/>
            </w:rPr>
            <w:t>第一章总则</w:t>
          </w:r>
          <w:r>
            <w:tab/>
          </w:r>
          <w:r>
            <w:fldChar w:fldCharType="begin"/>
          </w:r>
          <w:r>
            <w:instrText xml:space="preserve"> PAGEREF _Toc21773 \h </w:instrText>
          </w:r>
          <w:r>
            <w:fldChar w:fldCharType="separate"/>
          </w:r>
          <w:r>
            <w:t>631</w:t>
          </w:r>
          <w:r>
            <w:fldChar w:fldCharType="end"/>
          </w:r>
          <w:r>
            <w:fldChar w:fldCharType="end"/>
          </w:r>
        </w:p>
        <w:p>
          <w:pPr>
            <w:pStyle w:val="11"/>
            <w:tabs>
              <w:tab w:val="right" w:leader="dot" w:pos="8306"/>
            </w:tabs>
          </w:pPr>
          <w:r>
            <w:fldChar w:fldCharType="begin"/>
          </w:r>
          <w:r>
            <w:instrText xml:space="preserve"> HYPERLINK \l _Toc8462 </w:instrText>
          </w:r>
          <w:r>
            <w:fldChar w:fldCharType="separate"/>
          </w:r>
          <w:r>
            <w:rPr>
              <w:rFonts w:hint="eastAsia" w:cs="宋体" w:asciiTheme="majorEastAsia" w:hAnsiTheme="majorEastAsia" w:eastAsiaTheme="majorEastAsia"/>
            </w:rPr>
            <w:t>第二章岗位职责</w:t>
          </w:r>
          <w:r>
            <w:tab/>
          </w:r>
          <w:r>
            <w:fldChar w:fldCharType="begin"/>
          </w:r>
          <w:r>
            <w:instrText xml:space="preserve"> PAGEREF _Toc8462 \h </w:instrText>
          </w:r>
          <w:r>
            <w:fldChar w:fldCharType="separate"/>
          </w:r>
          <w:r>
            <w:t>632</w:t>
          </w:r>
          <w:r>
            <w:fldChar w:fldCharType="end"/>
          </w:r>
          <w:r>
            <w:fldChar w:fldCharType="end"/>
          </w:r>
        </w:p>
        <w:p>
          <w:pPr>
            <w:pStyle w:val="11"/>
            <w:tabs>
              <w:tab w:val="right" w:leader="dot" w:pos="8306"/>
            </w:tabs>
          </w:pPr>
          <w:r>
            <w:fldChar w:fldCharType="begin"/>
          </w:r>
          <w:r>
            <w:instrText xml:space="preserve"> HYPERLINK \l _Toc7675 </w:instrText>
          </w:r>
          <w:r>
            <w:fldChar w:fldCharType="separate"/>
          </w:r>
          <w:r>
            <w:rPr>
              <w:rFonts w:hint="eastAsia" w:cs="宋体" w:asciiTheme="majorEastAsia" w:hAnsiTheme="majorEastAsia" w:eastAsiaTheme="majorEastAsia"/>
            </w:rPr>
            <w:t>第三章证书管理</w:t>
          </w:r>
          <w:r>
            <w:tab/>
          </w:r>
          <w:r>
            <w:fldChar w:fldCharType="begin"/>
          </w:r>
          <w:r>
            <w:instrText xml:space="preserve"> PAGEREF _Toc7675 \h </w:instrText>
          </w:r>
          <w:r>
            <w:fldChar w:fldCharType="separate"/>
          </w:r>
          <w:r>
            <w:t>633</w:t>
          </w:r>
          <w:r>
            <w:fldChar w:fldCharType="end"/>
          </w:r>
          <w:r>
            <w:fldChar w:fldCharType="end"/>
          </w:r>
        </w:p>
        <w:p>
          <w:pPr>
            <w:pStyle w:val="11"/>
            <w:tabs>
              <w:tab w:val="right" w:leader="dot" w:pos="8306"/>
            </w:tabs>
          </w:pPr>
          <w:r>
            <w:fldChar w:fldCharType="begin"/>
          </w:r>
          <w:r>
            <w:instrText xml:space="preserve"> HYPERLINK \l _Toc25498 </w:instrText>
          </w:r>
          <w:r>
            <w:fldChar w:fldCharType="separate"/>
          </w:r>
          <w:r>
            <w:rPr>
              <w:rFonts w:hint="eastAsia" w:cs="宋体" w:asciiTheme="majorEastAsia" w:hAnsiTheme="majorEastAsia" w:eastAsiaTheme="majorEastAsia"/>
            </w:rPr>
            <w:t>电子商业汇票系统的系统参与者证书解冻流程：</w:t>
          </w:r>
          <w:r>
            <w:tab/>
          </w:r>
          <w:r>
            <w:fldChar w:fldCharType="begin"/>
          </w:r>
          <w:r>
            <w:instrText xml:space="preserve"> PAGEREF _Toc25498 \h </w:instrText>
          </w:r>
          <w:r>
            <w:fldChar w:fldCharType="separate"/>
          </w:r>
          <w:r>
            <w:t>635</w:t>
          </w:r>
          <w:r>
            <w:fldChar w:fldCharType="end"/>
          </w:r>
          <w:r>
            <w:fldChar w:fldCharType="end"/>
          </w:r>
        </w:p>
        <w:p>
          <w:pPr>
            <w:pStyle w:val="11"/>
            <w:tabs>
              <w:tab w:val="right" w:leader="dot" w:pos="8306"/>
            </w:tabs>
          </w:pPr>
          <w:r>
            <w:fldChar w:fldCharType="begin"/>
          </w:r>
          <w:r>
            <w:instrText xml:space="preserve"> HYPERLINK \l _Toc32762 </w:instrText>
          </w:r>
          <w:r>
            <w:fldChar w:fldCharType="separate"/>
          </w:r>
          <w:r>
            <w:rPr>
              <w:rFonts w:hint="eastAsia" w:cs="宋体" w:asciiTheme="majorEastAsia" w:hAnsiTheme="majorEastAsia" w:eastAsiaTheme="majorEastAsia"/>
            </w:rPr>
            <w:t>第四章附则</w:t>
          </w:r>
          <w:r>
            <w:tab/>
          </w:r>
          <w:r>
            <w:fldChar w:fldCharType="begin"/>
          </w:r>
          <w:r>
            <w:instrText xml:space="preserve"> PAGEREF _Toc32762 \h </w:instrText>
          </w:r>
          <w:r>
            <w:fldChar w:fldCharType="separate"/>
          </w:r>
          <w:r>
            <w:t>636</w:t>
          </w:r>
          <w:r>
            <w:fldChar w:fldCharType="end"/>
          </w:r>
          <w:r>
            <w:fldChar w:fldCharType="end"/>
          </w:r>
        </w:p>
        <w:p>
          <w:pPr>
            <w:pStyle w:val="11"/>
            <w:tabs>
              <w:tab w:val="right" w:leader="dot" w:pos="8306"/>
            </w:tabs>
          </w:pPr>
          <w:r>
            <w:fldChar w:fldCharType="begin"/>
          </w:r>
          <w:r>
            <w:instrText xml:space="preserve"> HYPERLINK \l _Toc15311 </w:instrText>
          </w:r>
          <w:r>
            <w:fldChar w:fldCharType="separate"/>
          </w:r>
          <w:r>
            <w:rPr>
              <w:rFonts w:cs="宋体" w:asciiTheme="majorEastAsia" w:hAnsiTheme="majorEastAsia" w:eastAsiaTheme="majorEastAsia"/>
              <w:bCs/>
              <w:szCs w:val="24"/>
              <w:lang w:val="en-US" w:eastAsia="zh-CN" w:bidi="ar-SA"/>
            </w:rPr>
            <w:t>99.</w:t>
          </w:r>
          <w:r>
            <w:rPr>
              <w:rFonts w:hint="eastAsia"/>
            </w:rPr>
            <w:t>《中国银保监会办公厅关于进一步做好信贷工作、提升服务实体经济质效的通知》</w:t>
          </w:r>
          <w:r>
            <w:tab/>
          </w:r>
          <w:r>
            <w:fldChar w:fldCharType="begin"/>
          </w:r>
          <w:r>
            <w:instrText xml:space="preserve"> PAGEREF _Toc15311 \h </w:instrText>
          </w:r>
          <w:r>
            <w:fldChar w:fldCharType="separate"/>
          </w:r>
          <w:r>
            <w:t>652</w:t>
          </w:r>
          <w:r>
            <w:fldChar w:fldCharType="end"/>
          </w:r>
          <w:r>
            <w:fldChar w:fldCharType="end"/>
          </w:r>
        </w:p>
        <w:p>
          <w:pPr>
            <w:pStyle w:val="11"/>
            <w:tabs>
              <w:tab w:val="right" w:leader="dot" w:pos="8306"/>
            </w:tabs>
          </w:pPr>
          <w:r>
            <w:fldChar w:fldCharType="begin"/>
          </w:r>
          <w:r>
            <w:instrText xml:space="preserve"> HYPERLINK \l _Toc2914 </w:instrText>
          </w:r>
          <w:r>
            <w:fldChar w:fldCharType="separate"/>
          </w:r>
          <w:r>
            <w:rPr>
              <w:rFonts w:cs="宋体" w:asciiTheme="majorEastAsia" w:hAnsiTheme="majorEastAsia" w:eastAsiaTheme="majorEastAsia"/>
              <w:bCs/>
              <w:szCs w:val="24"/>
              <w:lang w:val="en-US" w:eastAsia="zh-CN" w:bidi="ar-SA"/>
            </w:rPr>
            <w:t>100.</w:t>
          </w:r>
          <w:r>
            <w:rPr>
              <w:rFonts w:hint="eastAsia"/>
            </w:rPr>
            <w:t>《中国银保监会关于进一步加强金融服务民营企业有关工作的通知》</w:t>
          </w:r>
          <w:r>
            <w:tab/>
          </w:r>
          <w:r>
            <w:fldChar w:fldCharType="begin"/>
          </w:r>
          <w:r>
            <w:instrText xml:space="preserve"> PAGEREF _Toc2914 \h </w:instrText>
          </w:r>
          <w:r>
            <w:fldChar w:fldCharType="separate"/>
          </w:r>
          <w:r>
            <w:t>655</w:t>
          </w:r>
          <w:r>
            <w:fldChar w:fldCharType="end"/>
          </w:r>
          <w:r>
            <w:fldChar w:fldCharType="end"/>
          </w:r>
        </w:p>
        <w:p>
          <w:pPr>
            <w:pStyle w:val="11"/>
            <w:tabs>
              <w:tab w:val="right" w:leader="dot" w:pos="8306"/>
            </w:tabs>
          </w:pPr>
          <w:r>
            <w:fldChar w:fldCharType="begin"/>
          </w:r>
          <w:r>
            <w:instrText xml:space="preserve"> HYPERLINK \l _Toc12709 </w:instrText>
          </w:r>
          <w:r>
            <w:fldChar w:fldCharType="separate"/>
          </w:r>
          <w:r>
            <w:rPr>
              <w:rFonts w:cs="宋体" w:asciiTheme="majorEastAsia" w:hAnsiTheme="majorEastAsia" w:eastAsiaTheme="majorEastAsia"/>
              <w:bCs/>
              <w:szCs w:val="24"/>
              <w:lang w:val="en-US" w:eastAsia="zh-CN" w:bidi="ar-SA"/>
            </w:rPr>
            <w:t>101.</w:t>
          </w:r>
          <w:r>
            <w:rPr>
              <w:rFonts w:hint="eastAsia"/>
            </w:rPr>
            <w:t>《中国银保监会办公厅关于2019年进一步提升小微企业金融服务质效的通知》</w:t>
          </w:r>
          <w:r>
            <w:tab/>
          </w:r>
          <w:r>
            <w:fldChar w:fldCharType="begin"/>
          </w:r>
          <w:r>
            <w:instrText xml:space="preserve"> PAGEREF _Toc12709 \h </w:instrText>
          </w:r>
          <w:r>
            <w:fldChar w:fldCharType="separate"/>
          </w:r>
          <w:r>
            <w:t>659</w:t>
          </w:r>
          <w:r>
            <w:fldChar w:fldCharType="end"/>
          </w:r>
          <w:r>
            <w:fldChar w:fldCharType="end"/>
          </w:r>
        </w:p>
        <w:p>
          <w:pPr>
            <w:pStyle w:val="11"/>
            <w:tabs>
              <w:tab w:val="right" w:leader="dot" w:pos="8306"/>
            </w:tabs>
          </w:pPr>
          <w:r>
            <w:fldChar w:fldCharType="begin"/>
          </w:r>
          <w:r>
            <w:instrText xml:space="preserve"> HYPERLINK \l _Toc25947 </w:instrText>
          </w:r>
          <w:r>
            <w:fldChar w:fldCharType="separate"/>
          </w:r>
          <w:r>
            <w:rPr>
              <w:rFonts w:cs="宋体" w:asciiTheme="majorEastAsia" w:hAnsiTheme="majorEastAsia" w:eastAsiaTheme="majorEastAsia"/>
              <w:bCs/>
              <w:szCs w:val="24"/>
              <w:lang w:val="en-US" w:eastAsia="zh-CN" w:bidi="ar-SA"/>
            </w:rPr>
            <w:t>102.</w:t>
          </w:r>
          <w:r>
            <w:rPr>
              <w:rFonts w:hint="eastAsia"/>
            </w:rPr>
            <w:t>《深化金融供给侧改革持续优化金融信贷营商环境的意见》</w:t>
          </w:r>
          <w:r>
            <w:tab/>
          </w:r>
          <w:r>
            <w:fldChar w:fldCharType="begin"/>
          </w:r>
          <w:r>
            <w:instrText xml:space="preserve"> PAGEREF _Toc25947 \h </w:instrText>
          </w:r>
          <w:r>
            <w:fldChar w:fldCharType="separate"/>
          </w:r>
          <w:r>
            <w:t>667</w:t>
          </w:r>
          <w:r>
            <w:fldChar w:fldCharType="end"/>
          </w:r>
          <w:r>
            <w:fldChar w:fldCharType="end"/>
          </w:r>
        </w:p>
        <w:p>
          <w:pPr>
            <w:pStyle w:val="11"/>
            <w:tabs>
              <w:tab w:val="right" w:leader="dot" w:pos="8306"/>
            </w:tabs>
          </w:pPr>
          <w:r>
            <w:fldChar w:fldCharType="begin"/>
          </w:r>
          <w:r>
            <w:instrText xml:space="preserve"> HYPERLINK \l _Toc26217 </w:instrText>
          </w:r>
          <w:r>
            <w:fldChar w:fldCharType="separate"/>
          </w:r>
          <w:r>
            <w:rPr>
              <w:rFonts w:cs="宋体" w:asciiTheme="majorEastAsia" w:hAnsiTheme="majorEastAsia" w:eastAsiaTheme="majorEastAsia"/>
              <w:bCs/>
              <w:szCs w:val="24"/>
              <w:lang w:val="en-US" w:eastAsia="zh-CN" w:bidi="ar-SA"/>
            </w:rPr>
            <w:t>103.</w:t>
          </w:r>
          <w:r>
            <w:rPr>
              <w:rFonts w:hint="eastAsia"/>
            </w:rPr>
            <w:t>《北京银保监局关于规范银行业金融机构票据业务的监管意见》</w:t>
          </w:r>
          <w:r>
            <w:tab/>
          </w:r>
          <w:r>
            <w:fldChar w:fldCharType="begin"/>
          </w:r>
          <w:r>
            <w:instrText xml:space="preserve"> PAGEREF _Toc26217 \h </w:instrText>
          </w:r>
          <w:r>
            <w:fldChar w:fldCharType="separate"/>
          </w:r>
          <w:r>
            <w:t>670</w:t>
          </w:r>
          <w:r>
            <w:fldChar w:fldCharType="end"/>
          </w:r>
          <w:r>
            <w:fldChar w:fldCharType="end"/>
          </w:r>
        </w:p>
        <w:p>
          <w:pPr>
            <w:pStyle w:val="11"/>
            <w:tabs>
              <w:tab w:val="right" w:leader="dot" w:pos="8306"/>
            </w:tabs>
          </w:pPr>
          <w:r>
            <w:fldChar w:fldCharType="begin"/>
          </w:r>
          <w:r>
            <w:instrText xml:space="preserve"> HYPERLINK \l _Toc8097 </w:instrText>
          </w:r>
          <w:r>
            <w:fldChar w:fldCharType="separate"/>
          </w:r>
          <w:r>
            <w:rPr>
              <w:rFonts w:cs="宋体" w:asciiTheme="majorEastAsia" w:hAnsiTheme="majorEastAsia" w:eastAsiaTheme="majorEastAsia"/>
              <w:bCs/>
              <w:szCs w:val="24"/>
              <w:lang w:val="en-US" w:eastAsia="zh-CN" w:bidi="ar-SA"/>
            </w:rPr>
            <w:t>104.</w:t>
          </w:r>
          <w:r>
            <w:rPr>
              <w:rFonts w:hint="eastAsia"/>
            </w:rPr>
            <w:t>《关于进一步加强知识产权质押融资工作的通知》</w:t>
          </w:r>
          <w:r>
            <w:tab/>
          </w:r>
          <w:r>
            <w:fldChar w:fldCharType="begin"/>
          </w:r>
          <w:r>
            <w:instrText xml:space="preserve"> PAGEREF _Toc8097 \h </w:instrText>
          </w:r>
          <w:r>
            <w:fldChar w:fldCharType="separate"/>
          </w:r>
          <w:r>
            <w:t>672</w:t>
          </w:r>
          <w:r>
            <w:fldChar w:fldCharType="end"/>
          </w:r>
          <w:r>
            <w:fldChar w:fldCharType="end"/>
          </w:r>
        </w:p>
        <w:p>
          <w:pPr>
            <w:pStyle w:val="11"/>
            <w:tabs>
              <w:tab w:val="right" w:leader="dot" w:pos="8306"/>
            </w:tabs>
          </w:pPr>
          <w:r>
            <w:fldChar w:fldCharType="begin"/>
          </w:r>
          <w:r>
            <w:instrText xml:space="preserve"> HYPERLINK \l _Toc19459 </w:instrText>
          </w:r>
          <w:r>
            <w:fldChar w:fldCharType="separate"/>
          </w:r>
          <w:r>
            <w:rPr>
              <w:rFonts w:cs="宋体" w:asciiTheme="majorEastAsia" w:hAnsiTheme="majorEastAsia" w:eastAsiaTheme="majorEastAsia"/>
              <w:bCs/>
              <w:szCs w:val="24"/>
              <w:lang w:val="en-US" w:eastAsia="zh-CN" w:bidi="ar-SA"/>
            </w:rPr>
            <w:t>105.</w:t>
          </w:r>
          <w:r>
            <w:rPr>
              <w:rFonts w:hint="eastAsia"/>
            </w:rPr>
            <w:t>《关于完善外贸金融服务的指导意见》</w:t>
          </w:r>
          <w:r>
            <w:tab/>
          </w:r>
          <w:r>
            <w:fldChar w:fldCharType="begin"/>
          </w:r>
          <w:r>
            <w:instrText xml:space="preserve"> PAGEREF _Toc19459 \h </w:instrText>
          </w:r>
          <w:r>
            <w:fldChar w:fldCharType="separate"/>
          </w:r>
          <w:r>
            <w:t>676</w:t>
          </w:r>
          <w:r>
            <w:fldChar w:fldCharType="end"/>
          </w:r>
          <w:r>
            <w:fldChar w:fldCharType="end"/>
          </w:r>
        </w:p>
        <w:p>
          <w:pPr>
            <w:pStyle w:val="11"/>
            <w:tabs>
              <w:tab w:val="right" w:leader="dot" w:pos="8306"/>
            </w:tabs>
          </w:pPr>
          <w:r>
            <w:fldChar w:fldCharType="begin"/>
          </w:r>
          <w:r>
            <w:instrText xml:space="preserve"> HYPERLINK \l _Toc22315 </w:instrText>
          </w:r>
          <w:r>
            <w:fldChar w:fldCharType="separate"/>
          </w:r>
          <w:r>
            <w:rPr>
              <w:rFonts w:cs="宋体" w:asciiTheme="majorEastAsia" w:hAnsiTheme="majorEastAsia" w:eastAsiaTheme="majorEastAsia"/>
              <w:bCs/>
              <w:szCs w:val="24"/>
              <w:lang w:val="en-US" w:eastAsia="zh-CN" w:bidi="ar-SA"/>
            </w:rPr>
            <w:t>106.</w:t>
          </w:r>
          <w:r>
            <w:rPr>
              <w:rFonts w:hint="eastAsia"/>
            </w:rPr>
            <w:t>《关于加快优化金融信贷营商环境的意见》</w:t>
          </w:r>
          <w:r>
            <w:tab/>
          </w:r>
          <w:r>
            <w:fldChar w:fldCharType="begin"/>
          </w:r>
          <w:r>
            <w:instrText xml:space="preserve"> PAGEREF _Toc22315 \h </w:instrText>
          </w:r>
          <w:r>
            <w:fldChar w:fldCharType="separate"/>
          </w:r>
          <w:r>
            <w:t>682</w:t>
          </w:r>
          <w:r>
            <w:fldChar w:fldCharType="end"/>
          </w:r>
          <w:r>
            <w:fldChar w:fldCharType="end"/>
          </w:r>
        </w:p>
        <w:p>
          <w:pPr>
            <w:pStyle w:val="11"/>
            <w:tabs>
              <w:tab w:val="right" w:leader="dot" w:pos="8306"/>
            </w:tabs>
          </w:pPr>
          <w:r>
            <w:fldChar w:fldCharType="begin"/>
          </w:r>
          <w:r>
            <w:instrText xml:space="preserve"> HYPERLINK \l _Toc31610 </w:instrText>
          </w:r>
          <w:r>
            <w:fldChar w:fldCharType="separate"/>
          </w:r>
          <w:r>
            <w:rPr>
              <w:rFonts w:cs="宋体" w:asciiTheme="majorEastAsia" w:hAnsiTheme="majorEastAsia" w:eastAsiaTheme="majorEastAsia"/>
              <w:bCs/>
              <w:szCs w:val="24"/>
              <w:lang w:val="en-US" w:eastAsia="zh-CN" w:bidi="ar-SA"/>
            </w:rPr>
            <w:t>107.</w:t>
          </w:r>
          <w:r>
            <w:rPr>
              <w:rFonts w:hint="eastAsia"/>
            </w:rPr>
            <w:t>《对中小微企业贷款实施临时性延期还本付息的通知》</w:t>
          </w:r>
          <w:r>
            <w:tab/>
          </w:r>
          <w:r>
            <w:fldChar w:fldCharType="begin"/>
          </w:r>
          <w:r>
            <w:instrText xml:space="preserve"> PAGEREF _Toc31610 \h </w:instrText>
          </w:r>
          <w:r>
            <w:fldChar w:fldCharType="separate"/>
          </w:r>
          <w:r>
            <w:t>685</w:t>
          </w:r>
          <w:r>
            <w:fldChar w:fldCharType="end"/>
          </w:r>
          <w:r>
            <w:fldChar w:fldCharType="end"/>
          </w:r>
        </w:p>
        <w:p>
          <w:pPr>
            <w:pStyle w:val="11"/>
            <w:tabs>
              <w:tab w:val="right" w:leader="dot" w:pos="8306"/>
            </w:tabs>
          </w:pPr>
          <w:r>
            <w:fldChar w:fldCharType="begin"/>
          </w:r>
          <w:r>
            <w:instrText xml:space="preserve"> HYPERLINK \l _Toc6443 </w:instrText>
          </w:r>
          <w:r>
            <w:fldChar w:fldCharType="separate"/>
          </w:r>
          <w:r>
            <w:rPr>
              <w:rFonts w:cs="宋体" w:asciiTheme="majorEastAsia" w:hAnsiTheme="majorEastAsia" w:eastAsiaTheme="majorEastAsia"/>
              <w:bCs/>
              <w:szCs w:val="24"/>
              <w:lang w:val="en-US" w:eastAsia="zh-CN" w:bidi="ar-SA"/>
            </w:rPr>
            <w:t>108.</w:t>
          </w:r>
          <w:r>
            <w:rPr>
              <w:rFonts w:hint="eastAsia"/>
            </w:rPr>
            <w:t>《中国银保监会办公厅关于加强产业链协同复工复产金融服务的通知》</w:t>
          </w:r>
          <w:r>
            <w:tab/>
          </w:r>
          <w:r>
            <w:fldChar w:fldCharType="begin"/>
          </w:r>
          <w:r>
            <w:instrText xml:space="preserve"> PAGEREF _Toc6443 \h </w:instrText>
          </w:r>
          <w:r>
            <w:fldChar w:fldCharType="separate"/>
          </w:r>
          <w:r>
            <w:t>688</w:t>
          </w:r>
          <w:r>
            <w:fldChar w:fldCharType="end"/>
          </w:r>
          <w:r>
            <w:fldChar w:fldCharType="end"/>
          </w:r>
        </w:p>
        <w:p>
          <w:pPr>
            <w:pStyle w:val="11"/>
            <w:tabs>
              <w:tab w:val="right" w:leader="dot" w:pos="8306"/>
            </w:tabs>
          </w:pPr>
          <w:r>
            <w:fldChar w:fldCharType="begin"/>
          </w:r>
          <w:r>
            <w:instrText xml:space="preserve"> HYPERLINK \l _Toc19566 </w:instrText>
          </w:r>
          <w:r>
            <w:fldChar w:fldCharType="separate"/>
          </w:r>
          <w:r>
            <w:rPr>
              <w:rFonts w:cs="宋体" w:asciiTheme="majorEastAsia" w:hAnsiTheme="majorEastAsia" w:eastAsiaTheme="majorEastAsia"/>
              <w:bCs/>
              <w:szCs w:val="24"/>
              <w:lang w:val="en-US" w:eastAsia="zh-CN" w:bidi="ar-SA"/>
            </w:rPr>
            <w:t>109.</w:t>
          </w:r>
          <w:r>
            <w:rPr>
              <w:rFonts w:hint="eastAsia"/>
            </w:rPr>
            <w:t>《关于进一步规范信贷融资收费降低企业融资综合成本的通知》</w:t>
          </w:r>
          <w:r>
            <w:tab/>
          </w:r>
          <w:r>
            <w:fldChar w:fldCharType="begin"/>
          </w:r>
          <w:r>
            <w:instrText xml:space="preserve"> PAGEREF _Toc19566 \h </w:instrText>
          </w:r>
          <w:r>
            <w:fldChar w:fldCharType="separate"/>
          </w:r>
          <w:r>
            <w:t>691</w:t>
          </w:r>
          <w:r>
            <w:fldChar w:fldCharType="end"/>
          </w:r>
          <w:r>
            <w:fldChar w:fldCharType="end"/>
          </w:r>
        </w:p>
        <w:p>
          <w:pPr>
            <w:pStyle w:val="11"/>
            <w:tabs>
              <w:tab w:val="right" w:leader="dot" w:pos="8306"/>
            </w:tabs>
          </w:pPr>
          <w:r>
            <w:fldChar w:fldCharType="begin"/>
          </w:r>
          <w:r>
            <w:instrText xml:space="preserve"> HYPERLINK \l _Toc18700 </w:instrText>
          </w:r>
          <w:r>
            <w:fldChar w:fldCharType="separate"/>
          </w:r>
          <w:r>
            <w:rPr>
              <w:rFonts w:cs="宋体" w:asciiTheme="majorEastAsia" w:hAnsiTheme="majorEastAsia" w:eastAsiaTheme="majorEastAsia"/>
              <w:bCs/>
              <w:szCs w:val="24"/>
              <w:lang w:val="en-US" w:eastAsia="zh-CN" w:bidi="ar-SA"/>
            </w:rPr>
            <w:t>110.</w:t>
          </w:r>
          <w:r>
            <w:rPr>
              <w:rFonts w:hint="eastAsia"/>
            </w:rPr>
            <w:t>《关于2020年推动小微企业金融服务“增量扩面、提质降本”有关工作的通知》</w:t>
          </w:r>
          <w:r>
            <w:tab/>
          </w:r>
          <w:r>
            <w:fldChar w:fldCharType="begin"/>
          </w:r>
          <w:r>
            <w:instrText xml:space="preserve"> PAGEREF _Toc18700 \h </w:instrText>
          </w:r>
          <w:r>
            <w:fldChar w:fldCharType="separate"/>
          </w:r>
          <w:r>
            <w:t>696</w:t>
          </w:r>
          <w:r>
            <w:fldChar w:fldCharType="end"/>
          </w:r>
          <w:r>
            <w:fldChar w:fldCharType="end"/>
          </w:r>
        </w:p>
        <w:p>
          <w:pPr>
            <w:pStyle w:val="11"/>
            <w:tabs>
              <w:tab w:val="right" w:leader="dot" w:pos="8306"/>
            </w:tabs>
          </w:pPr>
          <w:r>
            <w:fldChar w:fldCharType="begin"/>
          </w:r>
          <w:r>
            <w:instrText xml:space="preserve"> HYPERLINK \l _Toc7596 </w:instrText>
          </w:r>
          <w:r>
            <w:fldChar w:fldCharType="separate"/>
          </w:r>
          <w:r>
            <w:rPr>
              <w:rFonts w:cs="宋体" w:asciiTheme="majorEastAsia" w:hAnsiTheme="majorEastAsia" w:eastAsiaTheme="majorEastAsia"/>
              <w:bCs/>
              <w:szCs w:val="24"/>
              <w:lang w:val="en-US" w:eastAsia="zh-CN" w:bidi="ar-SA"/>
            </w:rPr>
            <w:t>111.</w:t>
          </w:r>
          <w:r>
            <w:rPr>
              <w:rFonts w:hint="eastAsia"/>
            </w:rPr>
            <w:t>《关于健全支持中小企业发展制度的若干意见》</w:t>
          </w:r>
          <w:r>
            <w:tab/>
          </w:r>
          <w:r>
            <w:fldChar w:fldCharType="begin"/>
          </w:r>
          <w:r>
            <w:instrText xml:space="preserve"> PAGEREF _Toc7596 \h </w:instrText>
          </w:r>
          <w:r>
            <w:fldChar w:fldCharType="separate"/>
          </w:r>
          <w:r>
            <w:t>702</w:t>
          </w:r>
          <w:r>
            <w:fldChar w:fldCharType="end"/>
          </w:r>
          <w:r>
            <w:fldChar w:fldCharType="end"/>
          </w:r>
        </w:p>
        <w:p>
          <w:pPr>
            <w:pStyle w:val="11"/>
            <w:tabs>
              <w:tab w:val="right" w:leader="dot" w:pos="8306"/>
            </w:tabs>
          </w:pPr>
          <w:r>
            <w:fldChar w:fldCharType="begin"/>
          </w:r>
          <w:r>
            <w:instrText xml:space="preserve"> HYPERLINK \l _Toc22355 </w:instrText>
          </w:r>
          <w:r>
            <w:fldChar w:fldCharType="separate"/>
          </w:r>
          <w:r>
            <w:rPr>
              <w:rFonts w:cs="宋体" w:asciiTheme="majorEastAsia" w:hAnsiTheme="majorEastAsia" w:eastAsiaTheme="majorEastAsia"/>
              <w:bCs/>
              <w:szCs w:val="24"/>
              <w:lang w:val="en-US" w:eastAsia="zh-CN" w:bidi="ar-SA"/>
            </w:rPr>
            <w:t>112.</w:t>
          </w:r>
          <w:r>
            <w:rPr>
              <w:rFonts w:hint="eastAsia"/>
            </w:rPr>
            <w:t>《北京银保监局关于规范辖内银行业金融机构押品管理的通知》</w:t>
          </w:r>
          <w:r>
            <w:tab/>
          </w:r>
          <w:r>
            <w:fldChar w:fldCharType="begin"/>
          </w:r>
          <w:r>
            <w:instrText xml:space="preserve"> PAGEREF _Toc22355 \h </w:instrText>
          </w:r>
          <w:r>
            <w:fldChar w:fldCharType="separate"/>
          </w:r>
          <w:r>
            <w:t>709</w:t>
          </w:r>
          <w:r>
            <w:fldChar w:fldCharType="end"/>
          </w:r>
          <w:r>
            <w:fldChar w:fldCharType="end"/>
          </w:r>
        </w:p>
        <w:p>
          <w:pPr>
            <w:pStyle w:val="11"/>
            <w:tabs>
              <w:tab w:val="right" w:leader="dot" w:pos="8306"/>
            </w:tabs>
          </w:pPr>
          <w:r>
            <w:fldChar w:fldCharType="begin"/>
          </w:r>
          <w:r>
            <w:instrText xml:space="preserve"> HYPERLINK \l _Toc32509 </w:instrText>
          </w:r>
          <w:r>
            <w:fldChar w:fldCharType="separate"/>
          </w:r>
          <w:r>
            <w:rPr>
              <w:rFonts w:cs="宋体" w:asciiTheme="majorEastAsia" w:hAnsiTheme="majorEastAsia" w:eastAsiaTheme="majorEastAsia"/>
              <w:bCs/>
              <w:szCs w:val="24"/>
              <w:lang w:val="en-US" w:eastAsia="zh-CN" w:bidi="ar-SA"/>
            </w:rPr>
            <w:t>113.</w:t>
          </w:r>
          <w:r>
            <w:rPr>
              <w:rFonts w:hint="eastAsia"/>
            </w:rPr>
            <w:t>《关于规范发展供应链金融支持供应链产业链稳定循环和优化升级的意见》</w:t>
          </w:r>
          <w:r>
            <w:tab/>
          </w:r>
          <w:r>
            <w:fldChar w:fldCharType="begin"/>
          </w:r>
          <w:r>
            <w:instrText xml:space="preserve"> PAGEREF _Toc32509 \h </w:instrText>
          </w:r>
          <w:r>
            <w:fldChar w:fldCharType="separate"/>
          </w:r>
          <w:r>
            <w:t>711</w:t>
          </w:r>
          <w:r>
            <w:fldChar w:fldCharType="end"/>
          </w:r>
          <w:r>
            <w:fldChar w:fldCharType="end"/>
          </w:r>
        </w:p>
        <w:p>
          <w:pPr>
            <w:pStyle w:val="11"/>
            <w:tabs>
              <w:tab w:val="right" w:leader="dot" w:pos="8306"/>
            </w:tabs>
          </w:pPr>
          <w:r>
            <w:fldChar w:fldCharType="begin"/>
          </w:r>
          <w:r>
            <w:instrText xml:space="preserve"> HYPERLINK \l _Toc22668 </w:instrText>
          </w:r>
          <w:r>
            <w:fldChar w:fldCharType="separate"/>
          </w:r>
          <w:r>
            <w:rPr>
              <w:rFonts w:cs="宋体" w:asciiTheme="majorEastAsia" w:hAnsiTheme="majorEastAsia" w:eastAsiaTheme="majorEastAsia"/>
              <w:bCs/>
              <w:szCs w:val="24"/>
              <w:lang w:val="en-US" w:eastAsia="zh-CN" w:bidi="ar-SA"/>
            </w:rPr>
            <w:t>114.</w:t>
          </w:r>
          <w:r>
            <w:rPr>
              <w:rFonts w:hint="eastAsia"/>
            </w:rPr>
            <w:t>《中国人民银行关于规范商业承兑汇票信息披露的公告》</w:t>
          </w:r>
          <w:r>
            <w:tab/>
          </w:r>
          <w:r>
            <w:fldChar w:fldCharType="begin"/>
          </w:r>
          <w:r>
            <w:instrText xml:space="preserve"> PAGEREF _Toc22668 \h </w:instrText>
          </w:r>
          <w:r>
            <w:fldChar w:fldCharType="separate"/>
          </w:r>
          <w:r>
            <w:t>715</w:t>
          </w:r>
          <w:r>
            <w:fldChar w:fldCharType="end"/>
          </w:r>
          <w:r>
            <w:fldChar w:fldCharType="end"/>
          </w:r>
        </w:p>
        <w:p>
          <w:pPr>
            <w:pStyle w:val="11"/>
            <w:tabs>
              <w:tab w:val="right" w:leader="dot" w:pos="8306"/>
            </w:tabs>
          </w:pPr>
          <w:r>
            <w:fldChar w:fldCharType="begin"/>
          </w:r>
          <w:r>
            <w:instrText xml:space="preserve"> HYPERLINK \l _Toc12006 </w:instrText>
          </w:r>
          <w:r>
            <w:fldChar w:fldCharType="separate"/>
          </w:r>
          <w:r>
            <w:rPr>
              <w:rFonts w:cs="宋体" w:asciiTheme="majorEastAsia" w:hAnsiTheme="majorEastAsia" w:eastAsiaTheme="majorEastAsia"/>
              <w:bCs/>
              <w:szCs w:val="24"/>
              <w:lang w:val="en-US" w:eastAsia="zh-CN" w:bidi="ar-SA"/>
            </w:rPr>
            <w:t>115.</w:t>
          </w:r>
          <w:r>
            <w:rPr>
              <w:rFonts w:hint="eastAsia"/>
            </w:rPr>
            <w:t>《中国人民银行关于明示贷款年化利率的公告》</w:t>
          </w:r>
          <w:r>
            <w:tab/>
          </w:r>
          <w:r>
            <w:fldChar w:fldCharType="begin"/>
          </w:r>
          <w:r>
            <w:instrText xml:space="preserve"> PAGEREF _Toc12006 \h </w:instrText>
          </w:r>
          <w:r>
            <w:fldChar w:fldCharType="separate"/>
          </w:r>
          <w:r>
            <w:t>718</w:t>
          </w:r>
          <w:r>
            <w:fldChar w:fldCharType="end"/>
          </w:r>
          <w:r>
            <w:fldChar w:fldCharType="end"/>
          </w:r>
        </w:p>
        <w:p>
          <w:pPr>
            <w:pStyle w:val="11"/>
            <w:tabs>
              <w:tab w:val="right" w:leader="dot" w:pos="8306"/>
            </w:tabs>
          </w:pPr>
          <w:r>
            <w:fldChar w:fldCharType="begin"/>
          </w:r>
          <w:r>
            <w:instrText xml:space="preserve"> HYPERLINK \l _Toc17585 </w:instrText>
          </w:r>
          <w:r>
            <w:fldChar w:fldCharType="separate"/>
          </w:r>
          <w:r>
            <w:rPr>
              <w:rFonts w:cs="宋体" w:asciiTheme="majorEastAsia" w:hAnsiTheme="majorEastAsia" w:eastAsiaTheme="majorEastAsia"/>
              <w:bCs/>
              <w:szCs w:val="24"/>
              <w:lang w:val="en-US" w:eastAsia="zh-CN" w:bidi="ar-SA"/>
            </w:rPr>
            <w:t>116.</w:t>
          </w:r>
          <w:r>
            <w:rPr>
              <w:rFonts w:hint="eastAsia"/>
            </w:rPr>
            <w:t>《关于加快推动制造服务业高质量发展的意见》</w:t>
          </w:r>
          <w:r>
            <w:tab/>
          </w:r>
          <w:r>
            <w:fldChar w:fldCharType="begin"/>
          </w:r>
          <w:r>
            <w:instrText xml:space="preserve"> PAGEREF _Toc17585 \h </w:instrText>
          </w:r>
          <w:r>
            <w:fldChar w:fldCharType="separate"/>
          </w:r>
          <w:r>
            <w:t>719</w:t>
          </w:r>
          <w:r>
            <w:fldChar w:fldCharType="end"/>
          </w:r>
          <w:r>
            <w:fldChar w:fldCharType="end"/>
          </w:r>
        </w:p>
        <w:p>
          <w:pPr>
            <w:pStyle w:val="11"/>
            <w:tabs>
              <w:tab w:val="right" w:leader="dot" w:pos="8306"/>
            </w:tabs>
          </w:pPr>
          <w:r>
            <w:fldChar w:fldCharType="begin"/>
          </w:r>
          <w:r>
            <w:instrText xml:space="preserve"> HYPERLINK \l _Toc13046 </w:instrText>
          </w:r>
          <w:r>
            <w:fldChar w:fldCharType="separate"/>
          </w:r>
          <w:r>
            <w:rPr>
              <w:rFonts w:cs="宋体" w:asciiTheme="majorEastAsia" w:hAnsiTheme="majorEastAsia" w:eastAsiaTheme="majorEastAsia"/>
              <w:bCs/>
              <w:szCs w:val="24"/>
              <w:lang w:val="en-US" w:eastAsia="zh-CN" w:bidi="ar-SA"/>
            </w:rPr>
            <w:t>117.</w:t>
          </w:r>
          <w:r>
            <w:rPr>
              <w:rFonts w:hint="eastAsia"/>
            </w:rPr>
            <w:t>《中国银保监会办公厅住房和城乡建设部办公厅中国人民银行办公厅关于防止经营用途贷款违规流入房地产领域的通知》</w:t>
          </w:r>
          <w:r>
            <w:tab/>
          </w:r>
          <w:r>
            <w:fldChar w:fldCharType="begin"/>
          </w:r>
          <w:r>
            <w:instrText xml:space="preserve"> PAGEREF _Toc13046 \h </w:instrText>
          </w:r>
          <w:r>
            <w:fldChar w:fldCharType="separate"/>
          </w:r>
          <w:r>
            <w:t>726</w:t>
          </w:r>
          <w:r>
            <w:fldChar w:fldCharType="end"/>
          </w:r>
          <w:r>
            <w:fldChar w:fldCharType="end"/>
          </w:r>
        </w:p>
        <w:p>
          <w:pPr>
            <w:pStyle w:val="11"/>
            <w:tabs>
              <w:tab w:val="right" w:leader="dot" w:pos="8306"/>
            </w:tabs>
          </w:pPr>
          <w:r>
            <w:fldChar w:fldCharType="begin"/>
          </w:r>
          <w:r>
            <w:instrText xml:space="preserve"> HYPERLINK \l _Toc10920 </w:instrText>
          </w:r>
          <w:r>
            <w:fldChar w:fldCharType="separate"/>
          </w:r>
          <w:r>
            <w:rPr>
              <w:rFonts w:cs="宋体" w:asciiTheme="majorEastAsia" w:hAnsiTheme="majorEastAsia" w:eastAsiaTheme="majorEastAsia"/>
              <w:bCs/>
              <w:szCs w:val="24"/>
              <w:lang w:val="en-US" w:eastAsia="zh-CN" w:bidi="ar-SA"/>
            </w:rPr>
            <w:t>118.</w:t>
          </w:r>
          <w:r>
            <w:rPr>
              <w:rFonts w:hint="eastAsia"/>
            </w:rPr>
            <w:t>《关于进一步延长普惠小微企业贷款延期还本付息政策和信用贷款支持政策实施期限有关事宜的通知》</w:t>
          </w:r>
          <w:r>
            <w:tab/>
          </w:r>
          <w:r>
            <w:fldChar w:fldCharType="begin"/>
          </w:r>
          <w:r>
            <w:instrText xml:space="preserve"> PAGEREF _Toc10920 \h </w:instrText>
          </w:r>
          <w:r>
            <w:fldChar w:fldCharType="separate"/>
          </w:r>
          <w:r>
            <w:t>729</w:t>
          </w:r>
          <w:r>
            <w:fldChar w:fldCharType="end"/>
          </w:r>
          <w:r>
            <w:fldChar w:fldCharType="end"/>
          </w:r>
        </w:p>
        <w:p>
          <w:pPr>
            <w:pStyle w:val="11"/>
            <w:tabs>
              <w:tab w:val="right" w:leader="dot" w:pos="8306"/>
            </w:tabs>
          </w:pPr>
          <w:r>
            <w:fldChar w:fldCharType="begin"/>
          </w:r>
          <w:r>
            <w:instrText xml:space="preserve"> HYPERLINK \l _Toc18372 </w:instrText>
          </w:r>
          <w:r>
            <w:fldChar w:fldCharType="separate"/>
          </w:r>
          <w:r>
            <w:rPr>
              <w:rFonts w:cs="宋体" w:asciiTheme="majorEastAsia" w:hAnsiTheme="majorEastAsia" w:eastAsiaTheme="majorEastAsia"/>
              <w:bCs/>
              <w:szCs w:val="24"/>
              <w:lang w:val="en-US" w:eastAsia="zh-CN" w:bidi="ar-SA"/>
            </w:rPr>
            <w:t>119.</w:t>
          </w:r>
          <w:r>
            <w:rPr>
              <w:rFonts w:hint="eastAsia"/>
            </w:rPr>
            <w:t>《中国银保监会办公厅关于2021年进一步推动小微企业金融服务高质量发展的通知》</w:t>
          </w:r>
          <w:r>
            <w:tab/>
          </w:r>
          <w:r>
            <w:fldChar w:fldCharType="begin"/>
          </w:r>
          <w:r>
            <w:instrText xml:space="preserve"> PAGEREF _Toc18372 \h </w:instrText>
          </w:r>
          <w:r>
            <w:fldChar w:fldCharType="separate"/>
          </w:r>
          <w:r>
            <w:t>732</w:t>
          </w:r>
          <w:r>
            <w:fldChar w:fldCharType="end"/>
          </w:r>
          <w:r>
            <w:fldChar w:fldCharType="end"/>
          </w:r>
        </w:p>
        <w:p>
          <w:pPr>
            <w:pStyle w:val="11"/>
            <w:tabs>
              <w:tab w:val="right" w:leader="dot" w:pos="8306"/>
            </w:tabs>
          </w:pPr>
          <w:r>
            <w:fldChar w:fldCharType="begin"/>
          </w:r>
          <w:r>
            <w:instrText xml:space="preserve"> HYPERLINK \l _Toc16584 </w:instrText>
          </w:r>
          <w:r>
            <w:fldChar w:fldCharType="separate"/>
          </w:r>
          <w:r>
            <w:rPr>
              <w:rFonts w:cs="宋体" w:asciiTheme="majorEastAsia" w:hAnsiTheme="majorEastAsia" w:eastAsiaTheme="majorEastAsia"/>
              <w:bCs/>
              <w:szCs w:val="24"/>
              <w:lang w:val="en-US" w:eastAsia="zh-CN" w:bidi="ar-SA"/>
            </w:rPr>
            <w:t>120.</w:t>
          </w:r>
          <w:r>
            <w:rPr>
              <w:rFonts w:hint="eastAsia"/>
            </w:rPr>
            <w:t>中国人民银行关于印发《银行业金融机构绿色金融评价方案》的通知</w:t>
          </w:r>
          <w:r>
            <w:tab/>
          </w:r>
          <w:r>
            <w:fldChar w:fldCharType="begin"/>
          </w:r>
          <w:r>
            <w:instrText xml:space="preserve"> PAGEREF _Toc16584 \h </w:instrText>
          </w:r>
          <w:r>
            <w:fldChar w:fldCharType="separate"/>
          </w:r>
          <w:r>
            <w:t>739</w:t>
          </w:r>
          <w:r>
            <w:fldChar w:fldCharType="end"/>
          </w:r>
          <w:r>
            <w:fldChar w:fldCharType="end"/>
          </w:r>
        </w:p>
        <w:p>
          <w:pPr>
            <w:pStyle w:val="11"/>
            <w:tabs>
              <w:tab w:val="right" w:leader="dot" w:pos="8306"/>
            </w:tabs>
          </w:pPr>
          <w:r>
            <w:fldChar w:fldCharType="begin"/>
          </w:r>
          <w:r>
            <w:instrText xml:space="preserve"> HYPERLINK \l _Toc3555 </w:instrText>
          </w:r>
          <w:r>
            <w:fldChar w:fldCharType="separate"/>
          </w:r>
          <w:r>
            <w:rPr>
              <w:rFonts w:cs="宋体" w:asciiTheme="majorEastAsia" w:hAnsiTheme="majorEastAsia" w:eastAsiaTheme="majorEastAsia"/>
              <w:bCs/>
              <w:szCs w:val="24"/>
              <w:lang w:val="en-US" w:eastAsia="zh-CN" w:bidi="ar-SA"/>
            </w:rPr>
            <w:t>121.</w:t>
          </w:r>
          <w:r>
            <w:rPr>
              <w:rFonts w:hint="eastAsia"/>
            </w:rPr>
            <w:t>《银行业信贷资产登记流转中心银行业信贷资产流转集中登记规则》的通知</w:t>
          </w:r>
          <w:r>
            <w:tab/>
          </w:r>
          <w:r>
            <w:fldChar w:fldCharType="begin"/>
          </w:r>
          <w:r>
            <w:instrText xml:space="preserve"> PAGEREF _Toc3555 \h </w:instrText>
          </w:r>
          <w:r>
            <w:fldChar w:fldCharType="separate"/>
          </w:r>
          <w:r>
            <w:t>740</w:t>
          </w:r>
          <w:r>
            <w:fldChar w:fldCharType="end"/>
          </w:r>
          <w:r>
            <w:fldChar w:fldCharType="end"/>
          </w:r>
        </w:p>
        <w:p>
          <w:pPr>
            <w:pStyle w:val="11"/>
            <w:tabs>
              <w:tab w:val="right" w:leader="dot" w:pos="8306"/>
            </w:tabs>
          </w:pPr>
          <w:r>
            <w:fldChar w:fldCharType="begin"/>
          </w:r>
          <w:r>
            <w:instrText xml:space="preserve"> HYPERLINK \l _Toc17039 </w:instrText>
          </w:r>
          <w:r>
            <w:fldChar w:fldCharType="separate"/>
          </w:r>
          <w:r>
            <w:rPr>
              <w:rFonts w:cs="宋体" w:asciiTheme="majorEastAsia" w:hAnsiTheme="majorEastAsia" w:eastAsiaTheme="majorEastAsia"/>
              <w:bCs/>
              <w:szCs w:val="24"/>
              <w:lang w:val="en-US" w:eastAsia="zh-CN" w:bidi="ar-SA"/>
            </w:rPr>
            <w:t>122.</w:t>
          </w:r>
          <w:r>
            <w:rPr>
              <w:rFonts w:hint="eastAsia"/>
            </w:rPr>
            <w:t>《宏观审慎政策指引（试行）》</w:t>
          </w:r>
          <w:r>
            <w:tab/>
          </w:r>
          <w:r>
            <w:fldChar w:fldCharType="begin"/>
          </w:r>
          <w:r>
            <w:instrText xml:space="preserve"> PAGEREF _Toc17039 \h </w:instrText>
          </w:r>
          <w:r>
            <w:fldChar w:fldCharType="separate"/>
          </w:r>
          <w:r>
            <w:t>742</w:t>
          </w:r>
          <w:r>
            <w:fldChar w:fldCharType="end"/>
          </w:r>
          <w:r>
            <w:fldChar w:fldCharType="end"/>
          </w:r>
        </w:p>
        <w:p>
          <w:pPr>
            <w:pStyle w:val="11"/>
            <w:tabs>
              <w:tab w:val="right" w:leader="dot" w:pos="8306"/>
            </w:tabs>
          </w:pPr>
          <w:r>
            <w:fldChar w:fldCharType="begin"/>
          </w:r>
          <w:r>
            <w:instrText xml:space="preserve"> HYPERLINK \l _Toc17221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_Toc17221 \h </w:instrText>
          </w:r>
          <w:r>
            <w:fldChar w:fldCharType="separate"/>
          </w:r>
          <w:r>
            <w:t>742</w:t>
          </w:r>
          <w:r>
            <w:fldChar w:fldCharType="end"/>
          </w:r>
          <w:r>
            <w:fldChar w:fldCharType="end"/>
          </w:r>
        </w:p>
        <w:p>
          <w:pPr>
            <w:pStyle w:val="11"/>
            <w:tabs>
              <w:tab w:val="right" w:leader="dot" w:pos="8306"/>
            </w:tabs>
          </w:pPr>
          <w:r>
            <w:fldChar w:fldCharType="begin"/>
          </w:r>
          <w:r>
            <w:instrText xml:space="preserve"> HYPERLINK \l _Toc19685 </w:instrText>
          </w:r>
          <w:r>
            <w:fldChar w:fldCharType="separate"/>
          </w:r>
          <w:r>
            <w:rPr>
              <w:rFonts w:hint="eastAsia" w:cs="宋体" w:asciiTheme="majorEastAsia" w:hAnsiTheme="majorEastAsia" w:eastAsiaTheme="majorEastAsia"/>
              <w:bCs/>
            </w:rPr>
            <w:t>第二章宏观审慎政策框架</w:t>
          </w:r>
          <w:r>
            <w:tab/>
          </w:r>
          <w:r>
            <w:fldChar w:fldCharType="begin"/>
          </w:r>
          <w:r>
            <w:instrText xml:space="preserve"> PAGEREF _Toc19685 \h </w:instrText>
          </w:r>
          <w:r>
            <w:fldChar w:fldCharType="separate"/>
          </w:r>
          <w:r>
            <w:t>742</w:t>
          </w:r>
          <w:r>
            <w:fldChar w:fldCharType="end"/>
          </w:r>
          <w:r>
            <w:fldChar w:fldCharType="end"/>
          </w:r>
        </w:p>
        <w:p>
          <w:pPr>
            <w:pStyle w:val="11"/>
            <w:tabs>
              <w:tab w:val="right" w:leader="dot" w:pos="8306"/>
            </w:tabs>
          </w:pPr>
          <w:r>
            <w:fldChar w:fldCharType="begin"/>
          </w:r>
          <w:r>
            <w:instrText xml:space="preserve"> HYPERLINK \l _Toc5352 </w:instrText>
          </w:r>
          <w:r>
            <w:fldChar w:fldCharType="separate"/>
          </w:r>
          <w:r>
            <w:rPr>
              <w:rFonts w:hint="eastAsia" w:cs="宋体" w:asciiTheme="majorEastAsia" w:hAnsiTheme="majorEastAsia" w:eastAsiaTheme="majorEastAsia"/>
              <w:bCs/>
            </w:rPr>
            <w:t>第三章系统性金融风险的监测、识别和评估</w:t>
          </w:r>
          <w:r>
            <w:tab/>
          </w:r>
          <w:r>
            <w:fldChar w:fldCharType="begin"/>
          </w:r>
          <w:r>
            <w:instrText xml:space="preserve"> PAGEREF _Toc5352 \h </w:instrText>
          </w:r>
          <w:r>
            <w:fldChar w:fldCharType="separate"/>
          </w:r>
          <w:r>
            <w:t>743</w:t>
          </w:r>
          <w:r>
            <w:fldChar w:fldCharType="end"/>
          </w:r>
          <w:r>
            <w:fldChar w:fldCharType="end"/>
          </w:r>
        </w:p>
        <w:p>
          <w:pPr>
            <w:pStyle w:val="11"/>
            <w:tabs>
              <w:tab w:val="right" w:leader="dot" w:pos="8306"/>
            </w:tabs>
          </w:pPr>
          <w:r>
            <w:fldChar w:fldCharType="begin"/>
          </w:r>
          <w:r>
            <w:instrText xml:space="preserve"> HYPERLINK \l _Toc13736 </w:instrText>
          </w:r>
          <w:r>
            <w:fldChar w:fldCharType="separate"/>
          </w:r>
          <w:r>
            <w:rPr>
              <w:rFonts w:hint="eastAsia" w:cs="宋体" w:asciiTheme="majorEastAsia" w:hAnsiTheme="majorEastAsia" w:eastAsiaTheme="majorEastAsia"/>
              <w:bCs/>
            </w:rPr>
            <w:t>第四章宏观审慎政策工具</w:t>
          </w:r>
          <w:r>
            <w:tab/>
          </w:r>
          <w:r>
            <w:fldChar w:fldCharType="begin"/>
          </w:r>
          <w:r>
            <w:instrText xml:space="preserve"> PAGEREF _Toc13736 \h </w:instrText>
          </w:r>
          <w:r>
            <w:fldChar w:fldCharType="separate"/>
          </w:r>
          <w:r>
            <w:t>744</w:t>
          </w:r>
          <w:r>
            <w:fldChar w:fldCharType="end"/>
          </w:r>
          <w:r>
            <w:fldChar w:fldCharType="end"/>
          </w:r>
        </w:p>
        <w:p>
          <w:pPr>
            <w:pStyle w:val="11"/>
            <w:tabs>
              <w:tab w:val="right" w:leader="dot" w:pos="8306"/>
            </w:tabs>
          </w:pPr>
          <w:r>
            <w:fldChar w:fldCharType="begin"/>
          </w:r>
          <w:r>
            <w:instrText xml:space="preserve"> HYPERLINK \l _Toc12996 </w:instrText>
          </w:r>
          <w:r>
            <w:fldChar w:fldCharType="separate"/>
          </w:r>
          <w:r>
            <w:rPr>
              <w:rFonts w:hint="eastAsia" w:cs="宋体" w:asciiTheme="majorEastAsia" w:hAnsiTheme="majorEastAsia" w:eastAsiaTheme="majorEastAsia"/>
              <w:bCs/>
            </w:rPr>
            <w:t>第五章宏观审慎政策工具的使用</w:t>
          </w:r>
          <w:r>
            <w:tab/>
          </w:r>
          <w:r>
            <w:fldChar w:fldCharType="begin"/>
          </w:r>
          <w:r>
            <w:instrText xml:space="preserve"> PAGEREF _Toc12996 \h </w:instrText>
          </w:r>
          <w:r>
            <w:fldChar w:fldCharType="separate"/>
          </w:r>
          <w:r>
            <w:t>746</w:t>
          </w:r>
          <w:r>
            <w:fldChar w:fldCharType="end"/>
          </w:r>
          <w:r>
            <w:fldChar w:fldCharType="end"/>
          </w:r>
        </w:p>
        <w:p>
          <w:pPr>
            <w:pStyle w:val="11"/>
            <w:tabs>
              <w:tab w:val="right" w:leader="dot" w:pos="8306"/>
            </w:tabs>
          </w:pPr>
          <w:r>
            <w:fldChar w:fldCharType="begin"/>
          </w:r>
          <w:r>
            <w:instrText xml:space="preserve"> HYPERLINK \l _Toc74 </w:instrText>
          </w:r>
          <w:r>
            <w:fldChar w:fldCharType="separate"/>
          </w:r>
          <w:r>
            <w:rPr>
              <w:rFonts w:hint="eastAsia" w:cs="宋体" w:asciiTheme="majorEastAsia" w:hAnsiTheme="majorEastAsia" w:eastAsiaTheme="majorEastAsia"/>
              <w:bCs/>
            </w:rPr>
            <w:t>第六章宏观审慎政策治理机制</w:t>
          </w:r>
          <w:r>
            <w:tab/>
          </w:r>
          <w:r>
            <w:fldChar w:fldCharType="begin"/>
          </w:r>
          <w:r>
            <w:instrText xml:space="preserve"> PAGEREF _Toc74 \h </w:instrText>
          </w:r>
          <w:r>
            <w:fldChar w:fldCharType="separate"/>
          </w:r>
          <w:r>
            <w:t>746</w:t>
          </w:r>
          <w:r>
            <w:fldChar w:fldCharType="end"/>
          </w:r>
          <w:r>
            <w:fldChar w:fldCharType="end"/>
          </w:r>
        </w:p>
        <w:p>
          <w:pPr>
            <w:pStyle w:val="11"/>
            <w:tabs>
              <w:tab w:val="right" w:leader="dot" w:pos="8306"/>
            </w:tabs>
          </w:pPr>
          <w:r>
            <w:fldChar w:fldCharType="begin"/>
          </w:r>
          <w:r>
            <w:instrText xml:space="preserve"> HYPERLINK \l _Toc24659 </w:instrText>
          </w:r>
          <w:r>
            <w:fldChar w:fldCharType="separate"/>
          </w:r>
          <w:r>
            <w:rPr>
              <w:rFonts w:hint="eastAsia" w:cs="宋体" w:asciiTheme="majorEastAsia" w:hAnsiTheme="majorEastAsia" w:eastAsiaTheme="majorEastAsia"/>
              <w:bCs/>
            </w:rPr>
            <w:t>第七章支持与保障</w:t>
          </w:r>
          <w:r>
            <w:tab/>
          </w:r>
          <w:r>
            <w:fldChar w:fldCharType="begin"/>
          </w:r>
          <w:r>
            <w:instrText xml:space="preserve"> PAGEREF _Toc24659 \h </w:instrText>
          </w:r>
          <w:r>
            <w:fldChar w:fldCharType="separate"/>
          </w:r>
          <w:r>
            <w:t>747</w:t>
          </w:r>
          <w:r>
            <w:fldChar w:fldCharType="end"/>
          </w:r>
          <w:r>
            <w:fldChar w:fldCharType="end"/>
          </w:r>
        </w:p>
        <w:p>
          <w:pPr>
            <w:pStyle w:val="11"/>
            <w:tabs>
              <w:tab w:val="right" w:leader="dot" w:pos="8306"/>
            </w:tabs>
          </w:pPr>
          <w:r>
            <w:fldChar w:fldCharType="begin"/>
          </w:r>
          <w:r>
            <w:instrText xml:space="preserve"> HYPERLINK \l _Toc24789 </w:instrText>
          </w:r>
          <w:r>
            <w:fldChar w:fldCharType="separate"/>
          </w:r>
          <w:r>
            <w:rPr>
              <w:rFonts w:hint="eastAsia" w:cs="宋体" w:asciiTheme="majorEastAsia" w:hAnsiTheme="majorEastAsia" w:eastAsiaTheme="majorEastAsia"/>
              <w:bCs/>
            </w:rPr>
            <w:t>第八章政策协调</w:t>
          </w:r>
          <w:r>
            <w:tab/>
          </w:r>
          <w:r>
            <w:fldChar w:fldCharType="begin"/>
          </w:r>
          <w:r>
            <w:instrText xml:space="preserve"> PAGEREF _Toc24789 \h </w:instrText>
          </w:r>
          <w:r>
            <w:fldChar w:fldCharType="separate"/>
          </w:r>
          <w:r>
            <w:t>748</w:t>
          </w:r>
          <w:r>
            <w:fldChar w:fldCharType="end"/>
          </w:r>
          <w:r>
            <w:fldChar w:fldCharType="end"/>
          </w:r>
        </w:p>
        <w:p>
          <w:pPr>
            <w:pStyle w:val="11"/>
            <w:tabs>
              <w:tab w:val="right" w:leader="dot" w:pos="8306"/>
            </w:tabs>
          </w:pPr>
          <w:r>
            <w:fldChar w:fldCharType="begin"/>
          </w:r>
          <w:r>
            <w:instrText xml:space="preserve"> HYPERLINK \l _Toc20010 </w:instrText>
          </w:r>
          <w:r>
            <w:fldChar w:fldCharType="separate"/>
          </w:r>
          <w:r>
            <w:rPr>
              <w:rFonts w:hint="eastAsia" w:cs="宋体" w:asciiTheme="majorEastAsia" w:hAnsiTheme="majorEastAsia" w:eastAsiaTheme="majorEastAsia"/>
              <w:bCs/>
            </w:rPr>
            <w:t>第九章附则</w:t>
          </w:r>
          <w:r>
            <w:tab/>
          </w:r>
          <w:r>
            <w:fldChar w:fldCharType="begin"/>
          </w:r>
          <w:r>
            <w:instrText xml:space="preserve"> PAGEREF _Toc20010 \h </w:instrText>
          </w:r>
          <w:r>
            <w:fldChar w:fldCharType="separate"/>
          </w:r>
          <w:r>
            <w:t>749</w:t>
          </w:r>
          <w:r>
            <w:fldChar w:fldCharType="end"/>
          </w:r>
          <w:r>
            <w:fldChar w:fldCharType="end"/>
          </w:r>
        </w:p>
        <w:p>
          <w:pPr>
            <w:pStyle w:val="11"/>
            <w:tabs>
              <w:tab w:val="right" w:leader="dot" w:pos="8306"/>
            </w:tabs>
          </w:pPr>
          <w:r>
            <w:fldChar w:fldCharType="begin"/>
          </w:r>
          <w:r>
            <w:instrText xml:space="preserve"> HYPERLINK \l _Toc1932 </w:instrText>
          </w:r>
          <w:r>
            <w:fldChar w:fldCharType="separate"/>
          </w:r>
          <w:r>
            <w:rPr>
              <w:rFonts w:cs="宋体" w:asciiTheme="majorEastAsia" w:hAnsiTheme="majorEastAsia" w:eastAsiaTheme="majorEastAsia"/>
              <w:bCs/>
              <w:szCs w:val="24"/>
              <w:lang w:val="en-US" w:eastAsia="zh-CN" w:bidi="ar-SA"/>
            </w:rPr>
            <w:t>123.</w:t>
          </w:r>
          <w:r>
            <w:rPr>
              <w:rFonts w:hint="eastAsia"/>
            </w:rPr>
            <w:t>《中国银保监会办公厅关于2022年进一步强化金融支持小微企业发展工作的通知》</w:t>
          </w:r>
          <w:r>
            <w:tab/>
          </w:r>
          <w:r>
            <w:fldChar w:fldCharType="begin"/>
          </w:r>
          <w:r>
            <w:instrText xml:space="preserve"> PAGEREF _Toc1932 \h </w:instrText>
          </w:r>
          <w:r>
            <w:fldChar w:fldCharType="separate"/>
          </w:r>
          <w:r>
            <w:t>750</w:t>
          </w:r>
          <w:r>
            <w:fldChar w:fldCharType="end"/>
          </w:r>
          <w:r>
            <w:fldChar w:fldCharType="end"/>
          </w:r>
        </w:p>
        <w:p>
          <w:pPr>
            <w:pStyle w:val="11"/>
            <w:tabs>
              <w:tab w:val="right" w:leader="dot" w:pos="8306"/>
            </w:tabs>
          </w:pPr>
          <w:r>
            <w:fldChar w:fldCharType="begin"/>
          </w:r>
          <w:r>
            <w:instrText xml:space="preserve"> HYPERLINK \l _Toc11637 </w:instrText>
          </w:r>
          <w:r>
            <w:fldChar w:fldCharType="separate"/>
          </w:r>
          <w:r>
            <w:rPr>
              <w:rFonts w:cs="宋体" w:asciiTheme="majorEastAsia" w:hAnsiTheme="majorEastAsia" w:eastAsiaTheme="majorEastAsia"/>
              <w:bCs/>
              <w:szCs w:val="24"/>
              <w:lang w:val="en-US" w:eastAsia="zh-CN" w:bidi="ar-SA"/>
            </w:rPr>
            <w:t>124.</w:t>
          </w:r>
          <w:r>
            <w:rPr>
              <w:rFonts w:hint="eastAsia"/>
            </w:rPr>
            <w:t>《商业银行预期信用损失法实施管理办法》</w:t>
          </w:r>
          <w:r>
            <w:tab/>
          </w:r>
          <w:r>
            <w:fldChar w:fldCharType="begin"/>
          </w:r>
          <w:r>
            <w:instrText xml:space="preserve"> PAGEREF _Toc11637 \h </w:instrText>
          </w:r>
          <w:r>
            <w:fldChar w:fldCharType="separate"/>
          </w:r>
          <w:r>
            <w:t>756</w:t>
          </w:r>
          <w:r>
            <w:fldChar w:fldCharType="end"/>
          </w:r>
          <w:r>
            <w:fldChar w:fldCharType="end"/>
          </w:r>
        </w:p>
        <w:p>
          <w:pPr>
            <w:pStyle w:val="11"/>
            <w:tabs>
              <w:tab w:val="right" w:leader="dot" w:pos="8306"/>
            </w:tabs>
          </w:pPr>
          <w:r>
            <w:fldChar w:fldCharType="begin"/>
          </w:r>
          <w:r>
            <w:instrText xml:space="preserve"> HYPERLINK \l _Toc762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_Toc762 \h </w:instrText>
          </w:r>
          <w:r>
            <w:fldChar w:fldCharType="separate"/>
          </w:r>
          <w:r>
            <w:t>756</w:t>
          </w:r>
          <w:r>
            <w:fldChar w:fldCharType="end"/>
          </w:r>
          <w:r>
            <w:fldChar w:fldCharType="end"/>
          </w:r>
        </w:p>
        <w:p>
          <w:pPr>
            <w:pStyle w:val="11"/>
            <w:tabs>
              <w:tab w:val="right" w:leader="dot" w:pos="8306"/>
            </w:tabs>
          </w:pPr>
          <w:r>
            <w:fldChar w:fldCharType="begin"/>
          </w:r>
          <w:r>
            <w:instrText xml:space="preserve"> HYPERLINK \l _Toc13409 </w:instrText>
          </w:r>
          <w:r>
            <w:fldChar w:fldCharType="separate"/>
          </w:r>
          <w:r>
            <w:rPr>
              <w:rFonts w:hint="eastAsia" w:cs="宋体" w:asciiTheme="majorEastAsia" w:hAnsiTheme="majorEastAsia" w:eastAsiaTheme="majorEastAsia"/>
              <w:bCs/>
            </w:rPr>
            <w:t>第二章预期信用损失法管理</w:t>
          </w:r>
          <w:r>
            <w:tab/>
          </w:r>
          <w:r>
            <w:fldChar w:fldCharType="begin"/>
          </w:r>
          <w:r>
            <w:instrText xml:space="preserve"> PAGEREF _Toc13409 \h </w:instrText>
          </w:r>
          <w:r>
            <w:fldChar w:fldCharType="separate"/>
          </w:r>
          <w:r>
            <w:t>757</w:t>
          </w:r>
          <w:r>
            <w:fldChar w:fldCharType="end"/>
          </w:r>
          <w:r>
            <w:fldChar w:fldCharType="end"/>
          </w:r>
        </w:p>
        <w:p>
          <w:pPr>
            <w:pStyle w:val="11"/>
            <w:tabs>
              <w:tab w:val="right" w:leader="dot" w:pos="8306"/>
            </w:tabs>
          </w:pPr>
          <w:r>
            <w:fldChar w:fldCharType="begin"/>
          </w:r>
          <w:r>
            <w:instrText xml:space="preserve"> HYPERLINK \l _Toc13114 </w:instrText>
          </w:r>
          <w:r>
            <w:fldChar w:fldCharType="separate"/>
          </w:r>
          <w:r>
            <w:rPr>
              <w:rFonts w:hint="eastAsia" w:cs="宋体" w:asciiTheme="majorEastAsia" w:hAnsiTheme="majorEastAsia" w:eastAsiaTheme="majorEastAsia"/>
            </w:rPr>
            <w:t>第三章预期信用损失法实施</w:t>
          </w:r>
          <w:r>
            <w:tab/>
          </w:r>
          <w:r>
            <w:fldChar w:fldCharType="begin"/>
          </w:r>
          <w:r>
            <w:instrText xml:space="preserve"> PAGEREF _Toc13114 \h </w:instrText>
          </w:r>
          <w:r>
            <w:fldChar w:fldCharType="separate"/>
          </w:r>
          <w:r>
            <w:t>761</w:t>
          </w:r>
          <w:r>
            <w:fldChar w:fldCharType="end"/>
          </w:r>
          <w:r>
            <w:fldChar w:fldCharType="end"/>
          </w:r>
        </w:p>
        <w:p>
          <w:pPr>
            <w:pStyle w:val="11"/>
            <w:tabs>
              <w:tab w:val="right" w:leader="dot" w:pos="8306"/>
            </w:tabs>
          </w:pPr>
          <w:r>
            <w:fldChar w:fldCharType="begin"/>
          </w:r>
          <w:r>
            <w:instrText xml:space="preserve"> HYPERLINK \l _Toc17073 </w:instrText>
          </w:r>
          <w:r>
            <w:fldChar w:fldCharType="separate"/>
          </w:r>
          <w:r>
            <w:rPr>
              <w:rFonts w:hint="eastAsia" w:cs="宋体" w:asciiTheme="majorEastAsia" w:hAnsiTheme="majorEastAsia" w:eastAsiaTheme="majorEastAsia"/>
              <w:bCs/>
            </w:rPr>
            <w:t>第四章监督管理</w:t>
          </w:r>
          <w:r>
            <w:tab/>
          </w:r>
          <w:r>
            <w:fldChar w:fldCharType="begin"/>
          </w:r>
          <w:r>
            <w:instrText xml:space="preserve"> PAGEREF _Toc17073 \h </w:instrText>
          </w:r>
          <w:r>
            <w:fldChar w:fldCharType="separate"/>
          </w:r>
          <w:r>
            <w:t>765</w:t>
          </w:r>
          <w:r>
            <w:fldChar w:fldCharType="end"/>
          </w:r>
          <w:r>
            <w:fldChar w:fldCharType="end"/>
          </w:r>
        </w:p>
        <w:p>
          <w:pPr>
            <w:pStyle w:val="11"/>
            <w:tabs>
              <w:tab w:val="right" w:leader="dot" w:pos="8306"/>
            </w:tabs>
          </w:pPr>
          <w:r>
            <w:fldChar w:fldCharType="begin"/>
          </w:r>
          <w:r>
            <w:instrText xml:space="preserve"> HYPERLINK \l _Toc24761 </w:instrText>
          </w:r>
          <w:r>
            <w:fldChar w:fldCharType="separate"/>
          </w:r>
          <w:r>
            <w:rPr>
              <w:rFonts w:hint="eastAsia" w:cs="宋体" w:asciiTheme="majorEastAsia" w:hAnsiTheme="majorEastAsia" w:eastAsiaTheme="majorEastAsia"/>
              <w:bCs/>
            </w:rPr>
            <w:t>第五章附则</w:t>
          </w:r>
          <w:r>
            <w:tab/>
          </w:r>
          <w:r>
            <w:fldChar w:fldCharType="begin"/>
          </w:r>
          <w:r>
            <w:instrText xml:space="preserve"> PAGEREF _Toc24761 \h </w:instrText>
          </w:r>
          <w:r>
            <w:fldChar w:fldCharType="separate"/>
          </w:r>
          <w:r>
            <w:t>766</w:t>
          </w:r>
          <w:r>
            <w:fldChar w:fldCharType="end"/>
          </w:r>
          <w:r>
            <w:fldChar w:fldCharType="end"/>
          </w:r>
        </w:p>
        <w:p>
          <w:pPr>
            <w:pStyle w:val="11"/>
            <w:tabs>
              <w:tab w:val="right" w:leader="dot" w:pos="8306"/>
            </w:tabs>
          </w:pPr>
          <w:r>
            <w:fldChar w:fldCharType="begin"/>
          </w:r>
          <w:r>
            <w:instrText xml:space="preserve"> HYPERLINK \l _Toc4108 </w:instrText>
          </w:r>
          <w:r>
            <w:fldChar w:fldCharType="separate"/>
          </w:r>
          <w:r>
            <w:rPr>
              <w:rFonts w:cs="宋体" w:asciiTheme="majorEastAsia" w:hAnsiTheme="majorEastAsia" w:eastAsiaTheme="majorEastAsia"/>
              <w:bCs/>
              <w:szCs w:val="24"/>
              <w:lang w:val="en-US" w:eastAsia="zh-CN" w:bidi="ar-SA"/>
            </w:rPr>
            <w:t>125.</w:t>
          </w:r>
          <w:r>
            <w:rPr>
              <w:rFonts w:hint="eastAsia"/>
            </w:rPr>
            <w:t>《关于规范上市公司与企业集团财务公司业务往来的通知》</w:t>
          </w:r>
          <w:r>
            <w:tab/>
          </w:r>
          <w:r>
            <w:fldChar w:fldCharType="begin"/>
          </w:r>
          <w:r>
            <w:instrText xml:space="preserve"> PAGEREF _Toc4108 \h </w:instrText>
          </w:r>
          <w:r>
            <w:fldChar w:fldCharType="separate"/>
          </w:r>
          <w:r>
            <w:t>768</w:t>
          </w:r>
          <w:r>
            <w:fldChar w:fldCharType="end"/>
          </w:r>
          <w:r>
            <w:fldChar w:fldCharType="end"/>
          </w:r>
        </w:p>
        <w:p>
          <w:pPr>
            <w:pStyle w:val="11"/>
            <w:tabs>
              <w:tab w:val="right" w:leader="dot" w:pos="8306"/>
            </w:tabs>
          </w:pPr>
          <w:r>
            <w:fldChar w:fldCharType="begin"/>
          </w:r>
          <w:r>
            <w:instrText xml:space="preserve"> HYPERLINK \l _Toc22975 </w:instrText>
          </w:r>
          <w:r>
            <w:fldChar w:fldCharType="separate"/>
          </w:r>
          <w:r>
            <w:rPr>
              <w:rFonts w:cs="宋体" w:asciiTheme="majorEastAsia" w:hAnsiTheme="majorEastAsia" w:eastAsiaTheme="majorEastAsia"/>
              <w:bCs/>
              <w:szCs w:val="24"/>
              <w:lang w:val="en-US" w:eastAsia="zh-CN" w:bidi="ar-SA"/>
            </w:rPr>
            <w:t>126.</w:t>
          </w:r>
          <w:r>
            <w:rPr>
              <w:rFonts w:hint="eastAsia"/>
            </w:rPr>
            <w:t>《银行业保险业绿色金融指引》</w:t>
          </w:r>
          <w:r>
            <w:tab/>
          </w:r>
          <w:r>
            <w:fldChar w:fldCharType="begin"/>
          </w:r>
          <w:r>
            <w:instrText xml:space="preserve"> PAGEREF _Toc22975 \h </w:instrText>
          </w:r>
          <w:r>
            <w:fldChar w:fldCharType="separate"/>
          </w:r>
          <w:r>
            <w:t>771</w:t>
          </w:r>
          <w:r>
            <w:fldChar w:fldCharType="end"/>
          </w:r>
          <w:r>
            <w:fldChar w:fldCharType="end"/>
          </w:r>
        </w:p>
        <w:p>
          <w:pPr>
            <w:pStyle w:val="11"/>
            <w:tabs>
              <w:tab w:val="right" w:leader="dot" w:pos="8306"/>
            </w:tabs>
          </w:pPr>
          <w:r>
            <w:fldChar w:fldCharType="begin"/>
          </w:r>
          <w:r>
            <w:instrText xml:space="preserve"> HYPERLINK \l _Toc22994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_Toc22994 \h </w:instrText>
          </w:r>
          <w:r>
            <w:fldChar w:fldCharType="separate"/>
          </w:r>
          <w:r>
            <w:t>771</w:t>
          </w:r>
          <w:r>
            <w:fldChar w:fldCharType="end"/>
          </w:r>
          <w:r>
            <w:fldChar w:fldCharType="end"/>
          </w:r>
        </w:p>
        <w:p>
          <w:pPr>
            <w:pStyle w:val="11"/>
            <w:tabs>
              <w:tab w:val="right" w:leader="dot" w:pos="8306"/>
            </w:tabs>
          </w:pPr>
          <w:r>
            <w:fldChar w:fldCharType="begin"/>
          </w:r>
          <w:r>
            <w:instrText xml:space="preserve"> HYPERLINK \l _Toc21888 </w:instrText>
          </w:r>
          <w:r>
            <w:fldChar w:fldCharType="separate"/>
          </w:r>
          <w:r>
            <w:rPr>
              <w:rFonts w:hint="eastAsia" w:cs="宋体" w:asciiTheme="majorEastAsia" w:hAnsiTheme="majorEastAsia" w:eastAsiaTheme="majorEastAsia"/>
              <w:bCs/>
            </w:rPr>
            <w:t>第二章组织管理</w:t>
          </w:r>
          <w:r>
            <w:tab/>
          </w:r>
          <w:r>
            <w:fldChar w:fldCharType="begin"/>
          </w:r>
          <w:r>
            <w:instrText xml:space="preserve"> PAGEREF _Toc21888 \h </w:instrText>
          </w:r>
          <w:r>
            <w:fldChar w:fldCharType="separate"/>
          </w:r>
          <w:r>
            <w:t>772</w:t>
          </w:r>
          <w:r>
            <w:fldChar w:fldCharType="end"/>
          </w:r>
          <w:r>
            <w:fldChar w:fldCharType="end"/>
          </w:r>
        </w:p>
        <w:p>
          <w:pPr>
            <w:pStyle w:val="11"/>
            <w:tabs>
              <w:tab w:val="right" w:leader="dot" w:pos="8306"/>
            </w:tabs>
          </w:pPr>
          <w:r>
            <w:fldChar w:fldCharType="begin"/>
          </w:r>
          <w:r>
            <w:instrText xml:space="preserve"> HYPERLINK \l _Toc29813 </w:instrText>
          </w:r>
          <w:r>
            <w:fldChar w:fldCharType="separate"/>
          </w:r>
          <w:r>
            <w:rPr>
              <w:rFonts w:hint="eastAsia" w:cs="宋体" w:asciiTheme="majorEastAsia" w:hAnsiTheme="majorEastAsia" w:eastAsiaTheme="majorEastAsia"/>
              <w:bCs/>
            </w:rPr>
            <w:t>第三章政策制度及能力建设</w:t>
          </w:r>
          <w:r>
            <w:tab/>
          </w:r>
          <w:r>
            <w:fldChar w:fldCharType="begin"/>
          </w:r>
          <w:r>
            <w:instrText xml:space="preserve"> PAGEREF _Toc29813 \h </w:instrText>
          </w:r>
          <w:r>
            <w:fldChar w:fldCharType="separate"/>
          </w:r>
          <w:r>
            <w:t>772</w:t>
          </w:r>
          <w:r>
            <w:fldChar w:fldCharType="end"/>
          </w:r>
          <w:r>
            <w:fldChar w:fldCharType="end"/>
          </w:r>
        </w:p>
        <w:p>
          <w:pPr>
            <w:pStyle w:val="11"/>
            <w:tabs>
              <w:tab w:val="right" w:leader="dot" w:pos="8306"/>
            </w:tabs>
          </w:pPr>
          <w:r>
            <w:fldChar w:fldCharType="begin"/>
          </w:r>
          <w:r>
            <w:instrText xml:space="preserve"> HYPERLINK \l _Toc4234 </w:instrText>
          </w:r>
          <w:r>
            <w:fldChar w:fldCharType="separate"/>
          </w:r>
          <w:r>
            <w:rPr>
              <w:rFonts w:hint="eastAsia" w:cs="宋体" w:asciiTheme="majorEastAsia" w:hAnsiTheme="majorEastAsia" w:eastAsiaTheme="majorEastAsia"/>
              <w:bCs/>
            </w:rPr>
            <w:t>第四章投融资流程管理</w:t>
          </w:r>
          <w:r>
            <w:tab/>
          </w:r>
          <w:r>
            <w:fldChar w:fldCharType="begin"/>
          </w:r>
          <w:r>
            <w:instrText xml:space="preserve"> PAGEREF _Toc4234 \h </w:instrText>
          </w:r>
          <w:r>
            <w:fldChar w:fldCharType="separate"/>
          </w:r>
          <w:r>
            <w:t>774</w:t>
          </w:r>
          <w:r>
            <w:fldChar w:fldCharType="end"/>
          </w:r>
          <w:r>
            <w:fldChar w:fldCharType="end"/>
          </w:r>
        </w:p>
        <w:p>
          <w:pPr>
            <w:pStyle w:val="11"/>
            <w:tabs>
              <w:tab w:val="right" w:leader="dot" w:pos="8306"/>
            </w:tabs>
          </w:pPr>
          <w:r>
            <w:fldChar w:fldCharType="begin"/>
          </w:r>
          <w:r>
            <w:instrText xml:space="preserve"> HYPERLINK \l _Toc1185 </w:instrText>
          </w:r>
          <w:r>
            <w:fldChar w:fldCharType="separate"/>
          </w:r>
          <w:r>
            <w:rPr>
              <w:rFonts w:hint="eastAsia" w:cs="宋体" w:asciiTheme="majorEastAsia" w:hAnsiTheme="majorEastAsia" w:eastAsiaTheme="majorEastAsia"/>
              <w:bCs/>
            </w:rPr>
            <w:t>第五章内控管理与信息披露</w:t>
          </w:r>
          <w:r>
            <w:tab/>
          </w:r>
          <w:r>
            <w:fldChar w:fldCharType="begin"/>
          </w:r>
          <w:r>
            <w:instrText xml:space="preserve"> PAGEREF _Toc1185 \h </w:instrText>
          </w:r>
          <w:r>
            <w:fldChar w:fldCharType="separate"/>
          </w:r>
          <w:r>
            <w:t>775</w:t>
          </w:r>
          <w:r>
            <w:fldChar w:fldCharType="end"/>
          </w:r>
          <w:r>
            <w:fldChar w:fldCharType="end"/>
          </w:r>
        </w:p>
        <w:p>
          <w:pPr>
            <w:pStyle w:val="11"/>
            <w:tabs>
              <w:tab w:val="right" w:leader="dot" w:pos="8306"/>
            </w:tabs>
          </w:pPr>
          <w:r>
            <w:fldChar w:fldCharType="begin"/>
          </w:r>
          <w:r>
            <w:instrText xml:space="preserve"> HYPERLINK \l _Toc30150 </w:instrText>
          </w:r>
          <w:r>
            <w:fldChar w:fldCharType="separate"/>
          </w:r>
          <w:r>
            <w:rPr>
              <w:rFonts w:hint="eastAsia" w:cs="宋体" w:asciiTheme="majorEastAsia" w:hAnsiTheme="majorEastAsia" w:eastAsiaTheme="majorEastAsia"/>
              <w:bCs/>
            </w:rPr>
            <w:t>第六章监督管理</w:t>
          </w:r>
          <w:r>
            <w:tab/>
          </w:r>
          <w:r>
            <w:fldChar w:fldCharType="begin"/>
          </w:r>
          <w:r>
            <w:instrText xml:space="preserve"> PAGEREF _Toc30150 \h </w:instrText>
          </w:r>
          <w:r>
            <w:fldChar w:fldCharType="separate"/>
          </w:r>
          <w:r>
            <w:t>776</w:t>
          </w:r>
          <w:r>
            <w:fldChar w:fldCharType="end"/>
          </w:r>
          <w:r>
            <w:fldChar w:fldCharType="end"/>
          </w:r>
        </w:p>
        <w:p>
          <w:pPr>
            <w:pStyle w:val="11"/>
            <w:tabs>
              <w:tab w:val="right" w:leader="dot" w:pos="8306"/>
            </w:tabs>
          </w:pPr>
          <w:r>
            <w:fldChar w:fldCharType="begin"/>
          </w:r>
          <w:r>
            <w:instrText xml:space="preserve"> HYPERLINK \l _Toc1734 </w:instrText>
          </w:r>
          <w:r>
            <w:fldChar w:fldCharType="separate"/>
          </w:r>
          <w:r>
            <w:rPr>
              <w:rFonts w:hint="eastAsia" w:cs="宋体" w:asciiTheme="majorEastAsia" w:hAnsiTheme="majorEastAsia" w:eastAsiaTheme="majorEastAsia"/>
              <w:bCs/>
            </w:rPr>
            <w:t>第七章附则</w:t>
          </w:r>
          <w:r>
            <w:tab/>
          </w:r>
          <w:r>
            <w:fldChar w:fldCharType="begin"/>
          </w:r>
          <w:r>
            <w:instrText xml:space="preserve"> PAGEREF _Toc1734 \h </w:instrText>
          </w:r>
          <w:r>
            <w:fldChar w:fldCharType="separate"/>
          </w:r>
          <w:r>
            <w:t>777</w:t>
          </w:r>
          <w:r>
            <w:fldChar w:fldCharType="end"/>
          </w:r>
          <w:r>
            <w:fldChar w:fldCharType="end"/>
          </w:r>
        </w:p>
        <w:p>
          <w:pPr>
            <w:pStyle w:val="11"/>
            <w:tabs>
              <w:tab w:val="right" w:leader="dot" w:pos="8306"/>
            </w:tabs>
          </w:pPr>
          <w:r>
            <w:fldChar w:fldCharType="begin"/>
          </w:r>
          <w:r>
            <w:instrText xml:space="preserve"> HYPERLINK \l _Toc108 </w:instrText>
          </w:r>
          <w:r>
            <w:fldChar w:fldCharType="separate"/>
          </w:r>
          <w:r>
            <w:rPr>
              <w:rFonts w:cs="宋体" w:asciiTheme="majorEastAsia" w:hAnsiTheme="majorEastAsia" w:eastAsiaTheme="majorEastAsia"/>
              <w:bCs/>
              <w:szCs w:val="24"/>
              <w:lang w:val="en-US" w:eastAsia="zh-CN" w:bidi="ar-SA"/>
            </w:rPr>
            <w:t>127.</w:t>
          </w:r>
          <w:r>
            <w:rPr>
              <w:rFonts w:hint="eastAsia"/>
            </w:rPr>
            <w:t>《中国银保监会办公厅住房和城乡建设部办公厅中国人民银行办公厅关于商业银行出具保函置换预售监管资金有关工作的通知》</w:t>
          </w:r>
          <w:r>
            <w:tab/>
          </w:r>
          <w:r>
            <w:fldChar w:fldCharType="begin"/>
          </w:r>
          <w:r>
            <w:instrText xml:space="preserve"> PAGEREF _Toc108 \h </w:instrText>
          </w:r>
          <w:r>
            <w:fldChar w:fldCharType="separate"/>
          </w:r>
          <w:r>
            <w:t>778</w:t>
          </w:r>
          <w:r>
            <w:fldChar w:fldCharType="end"/>
          </w:r>
          <w:r>
            <w:fldChar w:fldCharType="end"/>
          </w:r>
        </w:p>
        <w:p>
          <w:pPr>
            <w:pStyle w:val="11"/>
            <w:tabs>
              <w:tab w:val="right" w:leader="dot" w:pos="8306"/>
            </w:tabs>
          </w:pPr>
          <w:r>
            <w:fldChar w:fldCharType="begin"/>
          </w:r>
          <w:r>
            <w:instrText xml:space="preserve"> HYPERLINK \l _Toc16312 </w:instrText>
          </w:r>
          <w:r>
            <w:fldChar w:fldCharType="separate"/>
          </w:r>
          <w:r>
            <w:rPr>
              <w:rFonts w:cs="宋体" w:asciiTheme="majorEastAsia" w:hAnsiTheme="majorEastAsia" w:eastAsiaTheme="majorEastAsia"/>
              <w:bCs/>
              <w:szCs w:val="24"/>
              <w:lang w:val="en-US" w:eastAsia="zh-CN" w:bidi="ar-SA"/>
            </w:rPr>
            <w:t>128.</w:t>
          </w:r>
          <w:r>
            <w:rPr>
              <w:rFonts w:hint="eastAsia"/>
            </w:rPr>
            <w:t>《中国银保监会办公厅关于2023年加力提升小微企业金融服务质量的通知》</w:t>
          </w:r>
          <w:r>
            <w:tab/>
          </w:r>
          <w:r>
            <w:fldChar w:fldCharType="begin"/>
          </w:r>
          <w:r>
            <w:instrText xml:space="preserve"> PAGEREF _Toc16312 \h </w:instrText>
          </w:r>
          <w:r>
            <w:fldChar w:fldCharType="separate"/>
          </w:r>
          <w:r>
            <w:t>781</w:t>
          </w:r>
          <w:r>
            <w:fldChar w:fldCharType="end"/>
          </w:r>
          <w:r>
            <w:fldChar w:fldCharType="end"/>
          </w:r>
        </w:p>
        <w:p>
          <w:pPr>
            <w:pStyle w:val="11"/>
            <w:tabs>
              <w:tab w:val="right" w:leader="dot" w:pos="8306"/>
            </w:tabs>
          </w:pPr>
          <w:r>
            <w:fldChar w:fldCharType="begin"/>
          </w:r>
          <w:r>
            <w:instrText xml:space="preserve"> HYPERLINK \l _Toc9873 </w:instrText>
          </w:r>
          <w:r>
            <w:fldChar w:fldCharType="separate"/>
          </w:r>
          <w:r>
            <w:rPr>
              <w:rFonts w:cs="宋体" w:asciiTheme="majorEastAsia" w:hAnsiTheme="majorEastAsia" w:eastAsiaTheme="majorEastAsia"/>
              <w:bCs/>
              <w:szCs w:val="24"/>
              <w:lang w:val="en-US" w:eastAsia="zh-CN" w:bidi="ar-SA"/>
            </w:rPr>
            <w:t>129.</w:t>
          </w:r>
          <w:r>
            <w:rPr>
              <w:rFonts w:hint="eastAsia"/>
            </w:rPr>
            <w:t>《中国银行业中间业务自律管理办法》</w:t>
          </w:r>
          <w:r>
            <w:tab/>
          </w:r>
          <w:r>
            <w:fldChar w:fldCharType="begin"/>
          </w:r>
          <w:r>
            <w:instrText xml:space="preserve"> PAGEREF _Toc9873 \h </w:instrText>
          </w:r>
          <w:r>
            <w:fldChar w:fldCharType="separate"/>
          </w:r>
          <w:r>
            <w:t>786</w:t>
          </w:r>
          <w:r>
            <w:fldChar w:fldCharType="end"/>
          </w:r>
          <w:r>
            <w:fldChar w:fldCharType="end"/>
          </w:r>
        </w:p>
        <w:p>
          <w:pPr>
            <w:pStyle w:val="11"/>
            <w:tabs>
              <w:tab w:val="right" w:leader="dot" w:pos="8306"/>
            </w:tabs>
          </w:pPr>
          <w:r>
            <w:fldChar w:fldCharType="begin"/>
          </w:r>
          <w:r>
            <w:instrText xml:space="preserve"> HYPERLINK \l _Toc18301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_Toc18301 \h </w:instrText>
          </w:r>
          <w:r>
            <w:fldChar w:fldCharType="separate"/>
          </w:r>
          <w:r>
            <w:t>786</w:t>
          </w:r>
          <w:r>
            <w:fldChar w:fldCharType="end"/>
          </w:r>
          <w:r>
            <w:fldChar w:fldCharType="end"/>
          </w:r>
        </w:p>
        <w:p>
          <w:pPr>
            <w:pStyle w:val="11"/>
            <w:tabs>
              <w:tab w:val="right" w:leader="dot" w:pos="8306"/>
            </w:tabs>
          </w:pPr>
          <w:r>
            <w:fldChar w:fldCharType="begin"/>
          </w:r>
          <w:r>
            <w:instrText xml:space="preserve"> HYPERLINK \l _Toc22849 </w:instrText>
          </w:r>
          <w:r>
            <w:fldChar w:fldCharType="separate"/>
          </w:r>
          <w:r>
            <w:rPr>
              <w:rFonts w:hint="eastAsia" w:cs="宋体" w:asciiTheme="majorEastAsia" w:hAnsiTheme="majorEastAsia" w:eastAsiaTheme="majorEastAsia"/>
              <w:bCs/>
            </w:rPr>
            <w:t>第二章基本原则</w:t>
          </w:r>
          <w:r>
            <w:tab/>
          </w:r>
          <w:r>
            <w:fldChar w:fldCharType="begin"/>
          </w:r>
          <w:r>
            <w:instrText xml:space="preserve"> PAGEREF _Toc22849 \h </w:instrText>
          </w:r>
          <w:r>
            <w:fldChar w:fldCharType="separate"/>
          </w:r>
          <w:r>
            <w:t>786</w:t>
          </w:r>
          <w:r>
            <w:fldChar w:fldCharType="end"/>
          </w:r>
          <w:r>
            <w:fldChar w:fldCharType="end"/>
          </w:r>
        </w:p>
        <w:p>
          <w:pPr>
            <w:pStyle w:val="11"/>
            <w:tabs>
              <w:tab w:val="right" w:leader="dot" w:pos="8306"/>
            </w:tabs>
          </w:pPr>
          <w:r>
            <w:fldChar w:fldCharType="begin"/>
          </w:r>
          <w:r>
            <w:instrText xml:space="preserve"> HYPERLINK \l _Toc10129 </w:instrText>
          </w:r>
          <w:r>
            <w:fldChar w:fldCharType="separate"/>
          </w:r>
          <w:r>
            <w:rPr>
              <w:rFonts w:hint="eastAsia" w:cs="宋体" w:asciiTheme="majorEastAsia" w:hAnsiTheme="majorEastAsia" w:eastAsiaTheme="majorEastAsia"/>
              <w:bCs/>
            </w:rPr>
            <w:t>第三章业务管理</w:t>
          </w:r>
          <w:r>
            <w:tab/>
          </w:r>
          <w:r>
            <w:fldChar w:fldCharType="begin"/>
          </w:r>
          <w:r>
            <w:instrText xml:space="preserve"> PAGEREF _Toc10129 \h </w:instrText>
          </w:r>
          <w:r>
            <w:fldChar w:fldCharType="separate"/>
          </w:r>
          <w:r>
            <w:t>786</w:t>
          </w:r>
          <w:r>
            <w:fldChar w:fldCharType="end"/>
          </w:r>
          <w:r>
            <w:fldChar w:fldCharType="end"/>
          </w:r>
        </w:p>
        <w:p>
          <w:pPr>
            <w:pStyle w:val="11"/>
            <w:tabs>
              <w:tab w:val="right" w:leader="dot" w:pos="8306"/>
            </w:tabs>
          </w:pPr>
          <w:r>
            <w:fldChar w:fldCharType="begin"/>
          </w:r>
          <w:r>
            <w:instrText xml:space="preserve"> HYPERLINK \l _Toc20028 </w:instrText>
          </w:r>
          <w:r>
            <w:fldChar w:fldCharType="separate"/>
          </w:r>
          <w:r>
            <w:rPr>
              <w:rFonts w:hint="eastAsia" w:cs="宋体" w:asciiTheme="majorEastAsia" w:hAnsiTheme="majorEastAsia" w:eastAsiaTheme="majorEastAsia"/>
              <w:bCs/>
            </w:rPr>
            <w:t>第四章信息披露</w:t>
          </w:r>
          <w:r>
            <w:tab/>
          </w:r>
          <w:r>
            <w:fldChar w:fldCharType="begin"/>
          </w:r>
          <w:r>
            <w:instrText xml:space="preserve"> PAGEREF _Toc20028 \h </w:instrText>
          </w:r>
          <w:r>
            <w:fldChar w:fldCharType="separate"/>
          </w:r>
          <w:r>
            <w:t>788</w:t>
          </w:r>
          <w:r>
            <w:fldChar w:fldCharType="end"/>
          </w:r>
          <w:r>
            <w:fldChar w:fldCharType="end"/>
          </w:r>
        </w:p>
        <w:p>
          <w:pPr>
            <w:pStyle w:val="11"/>
            <w:tabs>
              <w:tab w:val="right" w:leader="dot" w:pos="8306"/>
            </w:tabs>
          </w:pPr>
          <w:r>
            <w:fldChar w:fldCharType="begin"/>
          </w:r>
          <w:r>
            <w:instrText xml:space="preserve"> HYPERLINK \l _Toc4122 </w:instrText>
          </w:r>
          <w:r>
            <w:fldChar w:fldCharType="separate"/>
          </w:r>
          <w:r>
            <w:rPr>
              <w:rFonts w:hint="eastAsia" w:cs="宋体" w:asciiTheme="majorEastAsia" w:hAnsiTheme="majorEastAsia" w:eastAsiaTheme="majorEastAsia"/>
              <w:bCs/>
            </w:rPr>
            <w:t>第五章投诉处理</w:t>
          </w:r>
          <w:r>
            <w:tab/>
          </w:r>
          <w:r>
            <w:fldChar w:fldCharType="begin"/>
          </w:r>
          <w:r>
            <w:instrText xml:space="preserve"> PAGEREF _Toc4122 \h </w:instrText>
          </w:r>
          <w:r>
            <w:fldChar w:fldCharType="separate"/>
          </w:r>
          <w:r>
            <w:t>788</w:t>
          </w:r>
          <w:r>
            <w:fldChar w:fldCharType="end"/>
          </w:r>
          <w:r>
            <w:fldChar w:fldCharType="end"/>
          </w:r>
        </w:p>
        <w:p>
          <w:pPr>
            <w:pStyle w:val="11"/>
            <w:tabs>
              <w:tab w:val="right" w:leader="dot" w:pos="8306"/>
            </w:tabs>
          </w:pPr>
          <w:r>
            <w:fldChar w:fldCharType="begin"/>
          </w:r>
          <w:r>
            <w:instrText xml:space="preserve"> HYPERLINK \l _Toc10450 </w:instrText>
          </w:r>
          <w:r>
            <w:fldChar w:fldCharType="separate"/>
          </w:r>
          <w:r>
            <w:rPr>
              <w:rFonts w:hint="eastAsia" w:cs="宋体" w:asciiTheme="majorEastAsia" w:hAnsiTheme="majorEastAsia" w:eastAsiaTheme="majorEastAsia"/>
              <w:bCs/>
            </w:rPr>
            <w:t>第六章监督检查与评价</w:t>
          </w:r>
          <w:r>
            <w:tab/>
          </w:r>
          <w:r>
            <w:fldChar w:fldCharType="begin"/>
          </w:r>
          <w:r>
            <w:instrText xml:space="preserve"> PAGEREF _Toc10450 \h </w:instrText>
          </w:r>
          <w:r>
            <w:fldChar w:fldCharType="separate"/>
          </w:r>
          <w:r>
            <w:t>789</w:t>
          </w:r>
          <w:r>
            <w:fldChar w:fldCharType="end"/>
          </w:r>
          <w:r>
            <w:fldChar w:fldCharType="end"/>
          </w:r>
        </w:p>
        <w:p>
          <w:pPr>
            <w:pStyle w:val="11"/>
            <w:tabs>
              <w:tab w:val="right" w:leader="dot" w:pos="8306"/>
            </w:tabs>
          </w:pPr>
          <w:r>
            <w:fldChar w:fldCharType="begin"/>
          </w:r>
          <w:r>
            <w:instrText xml:space="preserve"> HYPERLINK \l _Toc994 </w:instrText>
          </w:r>
          <w:r>
            <w:fldChar w:fldCharType="separate"/>
          </w:r>
          <w:r>
            <w:rPr>
              <w:rFonts w:hint="eastAsia" w:cs="宋体" w:asciiTheme="majorEastAsia" w:hAnsiTheme="majorEastAsia" w:eastAsiaTheme="majorEastAsia"/>
              <w:bCs/>
            </w:rPr>
            <w:t>第七章附则</w:t>
          </w:r>
          <w:r>
            <w:tab/>
          </w:r>
          <w:r>
            <w:fldChar w:fldCharType="begin"/>
          </w:r>
          <w:r>
            <w:instrText xml:space="preserve"> PAGEREF _Toc994 \h </w:instrText>
          </w:r>
          <w:r>
            <w:fldChar w:fldCharType="separate"/>
          </w:r>
          <w:r>
            <w:t>790</w:t>
          </w:r>
          <w:r>
            <w:fldChar w:fldCharType="end"/>
          </w:r>
          <w:r>
            <w:fldChar w:fldCharType="end"/>
          </w:r>
        </w:p>
        <w:p>
          <w:pPr>
            <w:pStyle w:val="11"/>
            <w:tabs>
              <w:tab w:val="right" w:leader="dot" w:pos="8306"/>
            </w:tabs>
          </w:pPr>
          <w:r>
            <w:fldChar w:fldCharType="begin"/>
          </w:r>
          <w:r>
            <w:instrText xml:space="preserve"> HYPERLINK \l _Toc631 </w:instrText>
          </w:r>
          <w:r>
            <w:fldChar w:fldCharType="separate"/>
          </w:r>
          <w:r>
            <w:rPr>
              <w:rFonts w:cs="宋体" w:asciiTheme="majorEastAsia" w:hAnsiTheme="majorEastAsia" w:eastAsiaTheme="majorEastAsia"/>
              <w:bCs/>
              <w:szCs w:val="24"/>
              <w:lang w:val="en-US" w:eastAsia="zh-CN" w:bidi="ar-SA"/>
            </w:rPr>
            <w:t>130.</w:t>
          </w:r>
          <w:r>
            <w:rPr>
              <w:rFonts w:hint="eastAsia"/>
            </w:rPr>
            <w:t>《商业汇票业务风险防范指引》</w:t>
          </w:r>
          <w:r>
            <w:tab/>
          </w:r>
          <w:r>
            <w:fldChar w:fldCharType="begin"/>
          </w:r>
          <w:r>
            <w:instrText xml:space="preserve"> PAGEREF _Toc631 \h </w:instrText>
          </w:r>
          <w:r>
            <w:fldChar w:fldCharType="separate"/>
          </w:r>
          <w:r>
            <w:t>791</w:t>
          </w:r>
          <w:r>
            <w:fldChar w:fldCharType="end"/>
          </w:r>
          <w:r>
            <w:fldChar w:fldCharType="end"/>
          </w:r>
        </w:p>
        <w:p>
          <w:pPr>
            <w:pStyle w:val="11"/>
            <w:tabs>
              <w:tab w:val="right" w:leader="dot" w:pos="8306"/>
            </w:tabs>
          </w:pPr>
          <w:r>
            <w:fldChar w:fldCharType="begin"/>
          </w:r>
          <w:r>
            <w:instrText xml:space="preserve"> HYPERLINK \l _Toc6426 </w:instrText>
          </w:r>
          <w:r>
            <w:fldChar w:fldCharType="separate"/>
          </w:r>
          <w:r>
            <w:rPr>
              <w:rFonts w:hint="eastAsia" w:cs="宋体" w:asciiTheme="majorEastAsia" w:hAnsiTheme="majorEastAsia" w:eastAsiaTheme="majorEastAsia"/>
              <w:bCs/>
            </w:rPr>
            <w:t>第二章承兑风险及防范</w:t>
          </w:r>
          <w:r>
            <w:tab/>
          </w:r>
          <w:r>
            <w:fldChar w:fldCharType="begin"/>
          </w:r>
          <w:r>
            <w:instrText xml:space="preserve"> PAGEREF _Toc6426 \h </w:instrText>
          </w:r>
          <w:r>
            <w:fldChar w:fldCharType="separate"/>
          </w:r>
          <w:r>
            <w:t>791</w:t>
          </w:r>
          <w:r>
            <w:fldChar w:fldCharType="end"/>
          </w:r>
          <w:r>
            <w:fldChar w:fldCharType="end"/>
          </w:r>
        </w:p>
        <w:p>
          <w:pPr>
            <w:pStyle w:val="11"/>
            <w:tabs>
              <w:tab w:val="right" w:leader="dot" w:pos="8306"/>
            </w:tabs>
          </w:pPr>
          <w:r>
            <w:fldChar w:fldCharType="begin"/>
          </w:r>
          <w:r>
            <w:instrText xml:space="preserve"> HYPERLINK \l _Toc6394 </w:instrText>
          </w:r>
          <w:r>
            <w:fldChar w:fldCharType="separate"/>
          </w:r>
          <w:r>
            <w:rPr>
              <w:rFonts w:hint="eastAsia" w:cs="宋体" w:asciiTheme="majorEastAsia" w:hAnsiTheme="majorEastAsia" w:eastAsiaTheme="majorEastAsia"/>
              <w:bCs/>
            </w:rPr>
            <w:t>第三章质押风险及防范</w:t>
          </w:r>
          <w:r>
            <w:tab/>
          </w:r>
          <w:r>
            <w:fldChar w:fldCharType="begin"/>
          </w:r>
          <w:r>
            <w:instrText xml:space="preserve"> PAGEREF _Toc6394 \h </w:instrText>
          </w:r>
          <w:r>
            <w:fldChar w:fldCharType="separate"/>
          </w:r>
          <w:r>
            <w:t>793</w:t>
          </w:r>
          <w:r>
            <w:fldChar w:fldCharType="end"/>
          </w:r>
          <w:r>
            <w:fldChar w:fldCharType="end"/>
          </w:r>
        </w:p>
        <w:p>
          <w:pPr>
            <w:pStyle w:val="11"/>
            <w:tabs>
              <w:tab w:val="right" w:leader="dot" w:pos="8306"/>
            </w:tabs>
          </w:pPr>
          <w:r>
            <w:fldChar w:fldCharType="begin"/>
          </w:r>
          <w:r>
            <w:instrText xml:space="preserve"> HYPERLINK \l _Toc7469 </w:instrText>
          </w:r>
          <w:r>
            <w:fldChar w:fldCharType="separate"/>
          </w:r>
          <w:r>
            <w:rPr>
              <w:rFonts w:hint="eastAsia" w:cs="宋体" w:asciiTheme="majorEastAsia" w:hAnsiTheme="majorEastAsia" w:eastAsiaTheme="majorEastAsia"/>
              <w:bCs/>
            </w:rPr>
            <w:t>第四章贴现风险及防范</w:t>
          </w:r>
          <w:r>
            <w:tab/>
          </w:r>
          <w:r>
            <w:fldChar w:fldCharType="begin"/>
          </w:r>
          <w:r>
            <w:instrText xml:space="preserve"> PAGEREF _Toc7469 \h </w:instrText>
          </w:r>
          <w:r>
            <w:fldChar w:fldCharType="separate"/>
          </w:r>
          <w:r>
            <w:t>795</w:t>
          </w:r>
          <w:r>
            <w:fldChar w:fldCharType="end"/>
          </w:r>
          <w:r>
            <w:fldChar w:fldCharType="end"/>
          </w:r>
        </w:p>
        <w:p>
          <w:pPr>
            <w:pStyle w:val="11"/>
            <w:tabs>
              <w:tab w:val="right" w:leader="dot" w:pos="8306"/>
            </w:tabs>
          </w:pPr>
          <w:r>
            <w:fldChar w:fldCharType="begin"/>
          </w:r>
          <w:r>
            <w:instrText xml:space="preserve"> HYPERLINK \l _Toc22415 </w:instrText>
          </w:r>
          <w:r>
            <w:fldChar w:fldCharType="separate"/>
          </w:r>
          <w:r>
            <w:rPr>
              <w:rFonts w:hint="eastAsia" w:cs="宋体" w:asciiTheme="majorEastAsia" w:hAnsiTheme="majorEastAsia" w:eastAsiaTheme="majorEastAsia"/>
              <w:bCs/>
            </w:rPr>
            <w:t>第五章转贴现风险及防范</w:t>
          </w:r>
          <w:r>
            <w:tab/>
          </w:r>
          <w:r>
            <w:fldChar w:fldCharType="begin"/>
          </w:r>
          <w:r>
            <w:instrText xml:space="preserve"> PAGEREF _Toc22415 \h </w:instrText>
          </w:r>
          <w:r>
            <w:fldChar w:fldCharType="separate"/>
          </w:r>
          <w:r>
            <w:t>797</w:t>
          </w:r>
          <w:r>
            <w:fldChar w:fldCharType="end"/>
          </w:r>
          <w:r>
            <w:fldChar w:fldCharType="end"/>
          </w:r>
        </w:p>
        <w:p>
          <w:pPr>
            <w:pStyle w:val="11"/>
            <w:tabs>
              <w:tab w:val="right" w:leader="dot" w:pos="8306"/>
            </w:tabs>
          </w:pPr>
          <w:r>
            <w:fldChar w:fldCharType="begin"/>
          </w:r>
          <w:r>
            <w:instrText xml:space="preserve"> HYPERLINK \l _Toc7209 </w:instrText>
          </w:r>
          <w:r>
            <w:fldChar w:fldCharType="separate"/>
          </w:r>
          <w:r>
            <w:rPr>
              <w:rFonts w:hint="eastAsia" w:cs="宋体" w:asciiTheme="majorEastAsia" w:hAnsiTheme="majorEastAsia" w:eastAsiaTheme="majorEastAsia"/>
              <w:bCs/>
            </w:rPr>
            <w:t>第六章托收付款风险及防范</w:t>
          </w:r>
          <w:r>
            <w:tab/>
          </w:r>
          <w:r>
            <w:fldChar w:fldCharType="begin"/>
          </w:r>
          <w:r>
            <w:instrText xml:space="preserve"> PAGEREF _Toc7209 \h </w:instrText>
          </w:r>
          <w:r>
            <w:fldChar w:fldCharType="separate"/>
          </w:r>
          <w:r>
            <w:t>799</w:t>
          </w:r>
          <w:r>
            <w:fldChar w:fldCharType="end"/>
          </w:r>
          <w:r>
            <w:fldChar w:fldCharType="end"/>
          </w:r>
        </w:p>
        <w:p>
          <w:pPr>
            <w:pStyle w:val="11"/>
            <w:tabs>
              <w:tab w:val="right" w:leader="dot" w:pos="8306"/>
            </w:tabs>
          </w:pPr>
          <w:r>
            <w:fldChar w:fldCharType="begin"/>
          </w:r>
          <w:r>
            <w:instrText xml:space="preserve"> HYPERLINK \l _Toc22792 </w:instrText>
          </w:r>
          <w:r>
            <w:fldChar w:fldCharType="separate"/>
          </w:r>
          <w:r>
            <w:rPr>
              <w:rFonts w:hint="eastAsia" w:cs="宋体" w:asciiTheme="majorEastAsia" w:hAnsiTheme="majorEastAsia" w:eastAsiaTheme="majorEastAsia"/>
              <w:bCs/>
            </w:rPr>
            <w:t>第七章重要空白凭证、票据及业务印章风险及防范</w:t>
          </w:r>
          <w:r>
            <w:tab/>
          </w:r>
          <w:r>
            <w:fldChar w:fldCharType="begin"/>
          </w:r>
          <w:r>
            <w:instrText xml:space="preserve"> PAGEREF _Toc22792 \h </w:instrText>
          </w:r>
          <w:r>
            <w:fldChar w:fldCharType="separate"/>
          </w:r>
          <w:r>
            <w:t>801</w:t>
          </w:r>
          <w:r>
            <w:fldChar w:fldCharType="end"/>
          </w:r>
          <w:r>
            <w:fldChar w:fldCharType="end"/>
          </w:r>
        </w:p>
        <w:p>
          <w:pPr>
            <w:pStyle w:val="11"/>
            <w:tabs>
              <w:tab w:val="right" w:leader="dot" w:pos="8306"/>
            </w:tabs>
          </w:pPr>
          <w:r>
            <w:fldChar w:fldCharType="begin"/>
          </w:r>
          <w:r>
            <w:instrText xml:space="preserve"> HYPERLINK \l _Toc4242 </w:instrText>
          </w:r>
          <w:r>
            <w:fldChar w:fldCharType="separate"/>
          </w:r>
          <w:r>
            <w:rPr>
              <w:rFonts w:hint="eastAsia" w:cs="宋体" w:asciiTheme="majorEastAsia" w:hAnsiTheme="majorEastAsia" w:eastAsiaTheme="majorEastAsia"/>
              <w:bCs/>
            </w:rPr>
            <w:t>第八章票据权利保全及措施</w:t>
          </w:r>
          <w:r>
            <w:tab/>
          </w:r>
          <w:r>
            <w:fldChar w:fldCharType="begin"/>
          </w:r>
          <w:r>
            <w:instrText xml:space="preserve"> PAGEREF _Toc4242 \h </w:instrText>
          </w:r>
          <w:r>
            <w:fldChar w:fldCharType="separate"/>
          </w:r>
          <w:r>
            <w:t>803</w:t>
          </w:r>
          <w:r>
            <w:fldChar w:fldCharType="end"/>
          </w:r>
          <w:r>
            <w:fldChar w:fldCharType="end"/>
          </w:r>
        </w:p>
        <w:p>
          <w:pPr>
            <w:pStyle w:val="11"/>
            <w:tabs>
              <w:tab w:val="right" w:leader="dot" w:pos="8306"/>
            </w:tabs>
          </w:pPr>
          <w:r>
            <w:fldChar w:fldCharType="begin"/>
          </w:r>
          <w:r>
            <w:instrText xml:space="preserve"> HYPERLINK \l _Toc13552 </w:instrText>
          </w:r>
          <w:r>
            <w:fldChar w:fldCharType="separate"/>
          </w:r>
          <w:r>
            <w:rPr>
              <w:rFonts w:hint="eastAsia" w:cs="宋体" w:asciiTheme="majorEastAsia" w:hAnsiTheme="majorEastAsia" w:eastAsiaTheme="majorEastAsia"/>
              <w:bCs/>
            </w:rPr>
            <w:t>第九章伪假票据风险防范</w:t>
          </w:r>
          <w:r>
            <w:tab/>
          </w:r>
          <w:r>
            <w:fldChar w:fldCharType="begin"/>
          </w:r>
          <w:r>
            <w:instrText xml:space="preserve"> PAGEREF _Toc13552 \h </w:instrText>
          </w:r>
          <w:r>
            <w:fldChar w:fldCharType="separate"/>
          </w:r>
          <w:r>
            <w:t>804</w:t>
          </w:r>
          <w:r>
            <w:fldChar w:fldCharType="end"/>
          </w:r>
          <w:r>
            <w:fldChar w:fldCharType="end"/>
          </w:r>
        </w:p>
        <w:p>
          <w:pPr>
            <w:pStyle w:val="11"/>
            <w:tabs>
              <w:tab w:val="right" w:leader="dot" w:pos="8306"/>
            </w:tabs>
          </w:pPr>
          <w:r>
            <w:fldChar w:fldCharType="begin"/>
          </w:r>
          <w:r>
            <w:instrText xml:space="preserve"> HYPERLINK \l _Toc26260 </w:instrText>
          </w:r>
          <w:r>
            <w:fldChar w:fldCharType="separate"/>
          </w:r>
          <w:r>
            <w:rPr>
              <w:rFonts w:hint="eastAsia" w:cs="宋体" w:asciiTheme="majorEastAsia" w:hAnsiTheme="majorEastAsia" w:eastAsiaTheme="majorEastAsia"/>
              <w:bCs/>
            </w:rPr>
            <w:t>第十章纪律与责任</w:t>
          </w:r>
          <w:r>
            <w:tab/>
          </w:r>
          <w:r>
            <w:fldChar w:fldCharType="begin"/>
          </w:r>
          <w:r>
            <w:instrText xml:space="preserve"> PAGEREF _Toc26260 \h </w:instrText>
          </w:r>
          <w:r>
            <w:fldChar w:fldCharType="separate"/>
          </w:r>
          <w:r>
            <w:t>806</w:t>
          </w:r>
          <w:r>
            <w:fldChar w:fldCharType="end"/>
          </w:r>
          <w:r>
            <w:fldChar w:fldCharType="end"/>
          </w:r>
        </w:p>
        <w:p>
          <w:pPr>
            <w:pStyle w:val="11"/>
            <w:tabs>
              <w:tab w:val="right" w:leader="dot" w:pos="8306"/>
            </w:tabs>
          </w:pPr>
          <w:r>
            <w:fldChar w:fldCharType="begin"/>
          </w:r>
          <w:r>
            <w:instrText xml:space="preserve"> HYPERLINK \l _Toc13925 </w:instrText>
          </w:r>
          <w:r>
            <w:fldChar w:fldCharType="separate"/>
          </w:r>
          <w:r>
            <w:rPr>
              <w:rFonts w:hint="eastAsia" w:cs="宋体" w:asciiTheme="majorEastAsia" w:hAnsiTheme="majorEastAsia" w:eastAsiaTheme="majorEastAsia"/>
              <w:bCs/>
            </w:rPr>
            <w:t>第十一章附则</w:t>
          </w:r>
          <w:r>
            <w:tab/>
          </w:r>
          <w:r>
            <w:fldChar w:fldCharType="begin"/>
          </w:r>
          <w:r>
            <w:instrText xml:space="preserve"> PAGEREF _Toc13925 \h </w:instrText>
          </w:r>
          <w:r>
            <w:fldChar w:fldCharType="separate"/>
          </w:r>
          <w:r>
            <w:t>806</w:t>
          </w:r>
          <w:r>
            <w:fldChar w:fldCharType="end"/>
          </w:r>
          <w:r>
            <w:fldChar w:fldCharType="end"/>
          </w:r>
        </w:p>
        <w:p>
          <w:pPr>
            <w:pStyle w:val="11"/>
            <w:tabs>
              <w:tab w:val="right" w:pos="7200"/>
              <w:tab w:val="right" w:leader="dot" w:pos="8306"/>
            </w:tabs>
          </w:pPr>
          <w:r>
            <w:fldChar w:fldCharType="begin"/>
          </w:r>
          <w:r>
            <w:instrText xml:space="preserve"> HYPERLINK \l _Toc5609 </w:instrText>
          </w:r>
          <w:r>
            <w:fldChar w:fldCharType="separate"/>
          </w:r>
          <w:r>
            <w:rPr>
              <w:rFonts w:cs="宋体" w:asciiTheme="majorEastAsia" w:hAnsiTheme="majorEastAsia" w:eastAsiaTheme="majorEastAsia"/>
              <w:bCs/>
              <w:szCs w:val="24"/>
              <w:lang w:val="en-US" w:eastAsia="zh-CN" w:bidi="ar-SA"/>
            </w:rPr>
            <w:t>131.</w:t>
          </w:r>
          <w:r>
            <w:rPr>
              <w:rFonts w:hint="eastAsia"/>
            </w:rPr>
            <w:t>《中国银行业保理业务规范》(2016修订)</w:t>
          </w:r>
          <w:r>
            <w:rPr>
              <w:rFonts w:hint="eastAsia"/>
            </w:rPr>
            <w:tab/>
          </w:r>
          <w:r>
            <w:rPr>
              <w:rFonts w:hint="eastAsia"/>
            </w:rPr>
            <w:t>》</w:t>
          </w:r>
          <w:r>
            <w:tab/>
          </w:r>
          <w:r>
            <w:fldChar w:fldCharType="begin"/>
          </w:r>
          <w:r>
            <w:instrText xml:space="preserve"> PAGEREF _Toc5609 \h </w:instrText>
          </w:r>
          <w:r>
            <w:fldChar w:fldCharType="separate"/>
          </w:r>
          <w:r>
            <w:t>807</w:t>
          </w:r>
          <w:r>
            <w:fldChar w:fldCharType="end"/>
          </w:r>
          <w:r>
            <w:fldChar w:fldCharType="end"/>
          </w:r>
        </w:p>
        <w:p>
          <w:pPr>
            <w:pStyle w:val="11"/>
            <w:tabs>
              <w:tab w:val="right" w:leader="dot" w:pos="8306"/>
            </w:tabs>
          </w:pPr>
          <w:r>
            <w:fldChar w:fldCharType="begin"/>
          </w:r>
          <w:r>
            <w:instrText xml:space="preserve"> HYPERLINK \l _Toc21224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_Toc21224 \h </w:instrText>
          </w:r>
          <w:r>
            <w:fldChar w:fldCharType="separate"/>
          </w:r>
          <w:r>
            <w:t>807</w:t>
          </w:r>
          <w:r>
            <w:fldChar w:fldCharType="end"/>
          </w:r>
          <w:r>
            <w:fldChar w:fldCharType="end"/>
          </w:r>
        </w:p>
        <w:p>
          <w:pPr>
            <w:pStyle w:val="11"/>
            <w:tabs>
              <w:tab w:val="right" w:leader="dot" w:pos="8306"/>
            </w:tabs>
          </w:pPr>
          <w:r>
            <w:fldChar w:fldCharType="begin"/>
          </w:r>
          <w:r>
            <w:instrText xml:space="preserve"> HYPERLINK \l _Toc28669 </w:instrText>
          </w:r>
          <w:r>
            <w:fldChar w:fldCharType="separate"/>
          </w:r>
          <w:r>
            <w:rPr>
              <w:rFonts w:hint="eastAsia" w:cs="宋体" w:asciiTheme="majorEastAsia" w:hAnsiTheme="majorEastAsia" w:eastAsiaTheme="majorEastAsia"/>
              <w:bCs/>
            </w:rPr>
            <w:t>第二章定义、特点及分类</w:t>
          </w:r>
          <w:r>
            <w:tab/>
          </w:r>
          <w:r>
            <w:fldChar w:fldCharType="begin"/>
          </w:r>
          <w:r>
            <w:instrText xml:space="preserve"> PAGEREF _Toc28669 \h </w:instrText>
          </w:r>
          <w:r>
            <w:fldChar w:fldCharType="separate"/>
          </w:r>
          <w:r>
            <w:t>807</w:t>
          </w:r>
          <w:r>
            <w:fldChar w:fldCharType="end"/>
          </w:r>
          <w:r>
            <w:fldChar w:fldCharType="end"/>
          </w:r>
        </w:p>
        <w:p>
          <w:pPr>
            <w:pStyle w:val="11"/>
            <w:tabs>
              <w:tab w:val="right" w:leader="dot" w:pos="8306"/>
            </w:tabs>
          </w:pPr>
          <w:r>
            <w:fldChar w:fldCharType="begin"/>
          </w:r>
          <w:r>
            <w:instrText xml:space="preserve"> HYPERLINK \l _Toc10359 </w:instrText>
          </w:r>
          <w:r>
            <w:fldChar w:fldCharType="separate"/>
          </w:r>
          <w:r>
            <w:rPr>
              <w:rFonts w:hint="eastAsia" w:cs="宋体" w:asciiTheme="majorEastAsia" w:hAnsiTheme="majorEastAsia" w:eastAsiaTheme="majorEastAsia"/>
            </w:rPr>
            <w:t>有保险公司承保买方信用风险的银保合作，视同为双保理。</w:t>
          </w:r>
          <w:r>
            <w:tab/>
          </w:r>
          <w:r>
            <w:fldChar w:fldCharType="begin"/>
          </w:r>
          <w:r>
            <w:instrText xml:space="preserve"> PAGEREF _Toc10359 \h </w:instrText>
          </w:r>
          <w:r>
            <w:fldChar w:fldCharType="separate"/>
          </w:r>
          <w:r>
            <w:t>809</w:t>
          </w:r>
          <w:r>
            <w:fldChar w:fldCharType="end"/>
          </w:r>
          <w:r>
            <w:fldChar w:fldCharType="end"/>
          </w:r>
        </w:p>
        <w:p>
          <w:pPr>
            <w:pStyle w:val="11"/>
            <w:tabs>
              <w:tab w:val="right" w:leader="dot" w:pos="8306"/>
            </w:tabs>
          </w:pPr>
          <w:r>
            <w:fldChar w:fldCharType="begin"/>
          </w:r>
          <w:r>
            <w:instrText xml:space="preserve"> HYPERLINK \l _Toc27661 </w:instrText>
          </w:r>
          <w:r>
            <w:fldChar w:fldCharType="separate"/>
          </w:r>
          <w:r>
            <w:rPr>
              <w:rFonts w:hint="eastAsia" w:cs="宋体" w:asciiTheme="majorEastAsia" w:hAnsiTheme="majorEastAsia" w:eastAsiaTheme="majorEastAsia"/>
              <w:bCs/>
            </w:rPr>
            <w:t>第三章银行内部管理要求</w:t>
          </w:r>
          <w:r>
            <w:tab/>
          </w:r>
          <w:r>
            <w:fldChar w:fldCharType="begin"/>
          </w:r>
          <w:r>
            <w:instrText xml:space="preserve"> PAGEREF _Toc27661 \h </w:instrText>
          </w:r>
          <w:r>
            <w:fldChar w:fldCharType="separate"/>
          </w:r>
          <w:r>
            <w:t>809</w:t>
          </w:r>
          <w:r>
            <w:fldChar w:fldCharType="end"/>
          </w:r>
          <w:r>
            <w:fldChar w:fldCharType="end"/>
          </w:r>
        </w:p>
        <w:p>
          <w:pPr>
            <w:pStyle w:val="11"/>
            <w:tabs>
              <w:tab w:val="right" w:leader="dot" w:pos="8306"/>
            </w:tabs>
          </w:pPr>
          <w:r>
            <w:fldChar w:fldCharType="begin"/>
          </w:r>
          <w:r>
            <w:instrText xml:space="preserve"> HYPERLINK \l _Toc17837 </w:instrText>
          </w:r>
          <w:r>
            <w:fldChar w:fldCharType="separate"/>
          </w:r>
          <w:r>
            <w:rPr>
              <w:rFonts w:hint="eastAsia" w:cs="宋体" w:asciiTheme="majorEastAsia" w:hAnsiTheme="majorEastAsia" w:eastAsiaTheme="majorEastAsia"/>
              <w:bCs/>
            </w:rPr>
            <w:t>第四章数据统计及信息披露</w:t>
          </w:r>
          <w:r>
            <w:tab/>
          </w:r>
          <w:r>
            <w:fldChar w:fldCharType="begin"/>
          </w:r>
          <w:r>
            <w:instrText xml:space="preserve"> PAGEREF _Toc17837 \h </w:instrText>
          </w:r>
          <w:r>
            <w:fldChar w:fldCharType="separate"/>
          </w:r>
          <w:r>
            <w:t>813</w:t>
          </w:r>
          <w:r>
            <w:fldChar w:fldCharType="end"/>
          </w:r>
          <w:r>
            <w:fldChar w:fldCharType="end"/>
          </w:r>
        </w:p>
        <w:p>
          <w:pPr>
            <w:pStyle w:val="11"/>
            <w:tabs>
              <w:tab w:val="right" w:leader="dot" w:pos="8306"/>
            </w:tabs>
          </w:pPr>
          <w:r>
            <w:fldChar w:fldCharType="begin"/>
          </w:r>
          <w:r>
            <w:instrText xml:space="preserve"> HYPERLINK \l _Toc18770 </w:instrText>
          </w:r>
          <w:r>
            <w:fldChar w:fldCharType="separate"/>
          </w:r>
          <w:r>
            <w:rPr>
              <w:rFonts w:hint="eastAsia" w:cs="宋体" w:asciiTheme="majorEastAsia" w:hAnsiTheme="majorEastAsia" w:eastAsiaTheme="majorEastAsia"/>
              <w:bCs/>
            </w:rPr>
            <w:t>第五章附则</w:t>
          </w:r>
          <w:r>
            <w:tab/>
          </w:r>
          <w:r>
            <w:fldChar w:fldCharType="begin"/>
          </w:r>
          <w:r>
            <w:instrText xml:space="preserve"> PAGEREF _Toc18770 \h </w:instrText>
          </w:r>
          <w:r>
            <w:fldChar w:fldCharType="separate"/>
          </w:r>
          <w:r>
            <w:t>813</w:t>
          </w:r>
          <w:r>
            <w:fldChar w:fldCharType="end"/>
          </w:r>
          <w:r>
            <w:fldChar w:fldCharType="end"/>
          </w:r>
        </w:p>
        <w:p>
          <w:pPr>
            <w:pStyle w:val="11"/>
            <w:tabs>
              <w:tab w:val="right" w:leader="dot" w:pos="8306"/>
            </w:tabs>
          </w:pPr>
          <w:r>
            <w:fldChar w:fldCharType="begin"/>
          </w:r>
          <w:r>
            <w:instrText xml:space="preserve"> HYPERLINK \l _Toc24442 </w:instrText>
          </w:r>
          <w:r>
            <w:fldChar w:fldCharType="separate"/>
          </w:r>
          <w:r>
            <w:rPr>
              <w:rFonts w:cs="宋体" w:asciiTheme="majorEastAsia" w:hAnsiTheme="majorEastAsia" w:eastAsiaTheme="majorEastAsia"/>
              <w:bCs/>
              <w:szCs w:val="24"/>
              <w:lang w:val="en-US" w:eastAsia="zh-CN" w:bidi="ar-SA"/>
            </w:rPr>
            <w:t>132.</w:t>
          </w:r>
          <w:r>
            <w:rPr>
              <w:rFonts w:hint="eastAsia"/>
            </w:rPr>
            <w:t>《中国银行业票据业务规范》</w:t>
          </w:r>
          <w:r>
            <w:tab/>
          </w:r>
          <w:r>
            <w:fldChar w:fldCharType="begin"/>
          </w:r>
          <w:r>
            <w:instrText xml:space="preserve"> PAGEREF _Toc24442 \h </w:instrText>
          </w:r>
          <w:r>
            <w:fldChar w:fldCharType="separate"/>
          </w:r>
          <w:r>
            <w:t>814</w:t>
          </w:r>
          <w:r>
            <w:fldChar w:fldCharType="end"/>
          </w:r>
          <w:r>
            <w:fldChar w:fldCharType="end"/>
          </w:r>
        </w:p>
        <w:p>
          <w:pPr>
            <w:pStyle w:val="11"/>
            <w:tabs>
              <w:tab w:val="right" w:leader="dot" w:pos="8306"/>
            </w:tabs>
          </w:pPr>
          <w:r>
            <w:fldChar w:fldCharType="begin"/>
          </w:r>
          <w:r>
            <w:instrText xml:space="preserve"> HYPERLINK \l _Toc14754 </w:instrText>
          </w:r>
          <w:r>
            <w:fldChar w:fldCharType="separate"/>
          </w:r>
          <w:r>
            <w:rPr>
              <w:rFonts w:hint="eastAsia" w:cs="宋体" w:asciiTheme="majorEastAsia" w:hAnsiTheme="majorEastAsia" w:eastAsiaTheme="majorEastAsia"/>
              <w:bCs/>
            </w:rPr>
            <w:t>第一章总则</w:t>
          </w:r>
          <w:r>
            <w:tab/>
          </w:r>
          <w:r>
            <w:fldChar w:fldCharType="begin"/>
          </w:r>
          <w:r>
            <w:instrText xml:space="preserve"> PAGEREF _Toc14754 \h </w:instrText>
          </w:r>
          <w:r>
            <w:fldChar w:fldCharType="separate"/>
          </w:r>
          <w:r>
            <w:t>814</w:t>
          </w:r>
          <w:r>
            <w:fldChar w:fldCharType="end"/>
          </w:r>
          <w:r>
            <w:fldChar w:fldCharType="end"/>
          </w:r>
        </w:p>
        <w:p>
          <w:pPr>
            <w:pStyle w:val="11"/>
            <w:tabs>
              <w:tab w:val="right" w:leader="dot" w:pos="8306"/>
            </w:tabs>
          </w:pPr>
          <w:r>
            <w:fldChar w:fldCharType="begin"/>
          </w:r>
          <w:r>
            <w:instrText xml:space="preserve"> HYPERLINK \l _Toc30720 </w:instrText>
          </w:r>
          <w:r>
            <w:fldChar w:fldCharType="separate"/>
          </w:r>
          <w:r>
            <w:rPr>
              <w:rFonts w:hint="eastAsia" w:cs="宋体" w:asciiTheme="majorEastAsia" w:hAnsiTheme="majorEastAsia" w:eastAsiaTheme="majorEastAsia"/>
              <w:bCs/>
            </w:rPr>
            <w:t>第二章重要术语与定义</w:t>
          </w:r>
          <w:r>
            <w:tab/>
          </w:r>
          <w:r>
            <w:fldChar w:fldCharType="begin"/>
          </w:r>
          <w:r>
            <w:instrText xml:space="preserve"> PAGEREF _Toc30720 \h </w:instrText>
          </w:r>
          <w:r>
            <w:fldChar w:fldCharType="separate"/>
          </w:r>
          <w:r>
            <w:t>814</w:t>
          </w:r>
          <w:r>
            <w:fldChar w:fldCharType="end"/>
          </w:r>
          <w:r>
            <w:fldChar w:fldCharType="end"/>
          </w:r>
        </w:p>
        <w:p>
          <w:pPr>
            <w:pStyle w:val="11"/>
            <w:tabs>
              <w:tab w:val="right" w:leader="dot" w:pos="8306"/>
            </w:tabs>
          </w:pPr>
          <w:r>
            <w:fldChar w:fldCharType="begin"/>
          </w:r>
          <w:r>
            <w:instrText xml:space="preserve"> HYPERLINK \l _Toc18523 </w:instrText>
          </w:r>
          <w:r>
            <w:fldChar w:fldCharType="separate"/>
          </w:r>
          <w:r>
            <w:rPr>
              <w:rFonts w:hint="eastAsia" w:cs="宋体" w:asciiTheme="majorEastAsia" w:hAnsiTheme="majorEastAsia" w:eastAsiaTheme="majorEastAsia"/>
              <w:bCs/>
            </w:rPr>
            <w:t>第三章基本业务规范</w:t>
          </w:r>
          <w:r>
            <w:tab/>
          </w:r>
          <w:r>
            <w:fldChar w:fldCharType="begin"/>
          </w:r>
          <w:r>
            <w:instrText xml:space="preserve"> PAGEREF _Toc18523 \h </w:instrText>
          </w:r>
          <w:r>
            <w:fldChar w:fldCharType="separate"/>
          </w:r>
          <w:r>
            <w:t>815</w:t>
          </w:r>
          <w:r>
            <w:fldChar w:fldCharType="end"/>
          </w:r>
          <w:r>
            <w:fldChar w:fldCharType="end"/>
          </w:r>
        </w:p>
        <w:p>
          <w:pPr>
            <w:pStyle w:val="11"/>
            <w:tabs>
              <w:tab w:val="right" w:leader="dot" w:pos="8306"/>
            </w:tabs>
          </w:pPr>
          <w:r>
            <w:fldChar w:fldCharType="begin"/>
          </w:r>
          <w:r>
            <w:instrText xml:space="preserve"> HYPERLINK \l _Toc7963 </w:instrText>
          </w:r>
          <w:r>
            <w:fldChar w:fldCharType="separate"/>
          </w:r>
          <w:r>
            <w:rPr>
              <w:rFonts w:hint="eastAsia" w:cs="宋体" w:asciiTheme="majorEastAsia" w:hAnsiTheme="majorEastAsia" w:eastAsiaTheme="majorEastAsia"/>
              <w:bCs/>
            </w:rPr>
            <w:t>第四章业务创新</w:t>
          </w:r>
          <w:r>
            <w:tab/>
          </w:r>
          <w:r>
            <w:fldChar w:fldCharType="begin"/>
          </w:r>
          <w:r>
            <w:instrText xml:space="preserve"> PAGEREF _Toc7963 \h </w:instrText>
          </w:r>
          <w:r>
            <w:fldChar w:fldCharType="separate"/>
          </w:r>
          <w:r>
            <w:t>822</w:t>
          </w:r>
          <w:r>
            <w:fldChar w:fldCharType="end"/>
          </w:r>
          <w:r>
            <w:fldChar w:fldCharType="end"/>
          </w:r>
        </w:p>
        <w:p>
          <w:pPr>
            <w:pStyle w:val="11"/>
            <w:tabs>
              <w:tab w:val="right" w:leader="dot" w:pos="8306"/>
            </w:tabs>
          </w:pPr>
          <w:r>
            <w:fldChar w:fldCharType="begin"/>
          </w:r>
          <w:r>
            <w:instrText xml:space="preserve"> HYPERLINK \l _Toc17622 </w:instrText>
          </w:r>
          <w:r>
            <w:fldChar w:fldCharType="separate"/>
          </w:r>
          <w:r>
            <w:rPr>
              <w:rFonts w:hint="eastAsia" w:cs="宋体" w:asciiTheme="majorEastAsia" w:hAnsiTheme="majorEastAsia" w:eastAsiaTheme="majorEastAsia"/>
              <w:bCs/>
            </w:rPr>
            <w:t>第五章风险控制</w:t>
          </w:r>
          <w:r>
            <w:tab/>
          </w:r>
          <w:r>
            <w:fldChar w:fldCharType="begin"/>
          </w:r>
          <w:r>
            <w:instrText xml:space="preserve"> PAGEREF _Toc17622 \h </w:instrText>
          </w:r>
          <w:r>
            <w:fldChar w:fldCharType="separate"/>
          </w:r>
          <w:r>
            <w:t>823</w:t>
          </w:r>
          <w:r>
            <w:fldChar w:fldCharType="end"/>
          </w:r>
          <w:r>
            <w:fldChar w:fldCharType="end"/>
          </w:r>
        </w:p>
        <w:p>
          <w:pPr>
            <w:pStyle w:val="11"/>
            <w:tabs>
              <w:tab w:val="right" w:leader="dot" w:pos="8306"/>
            </w:tabs>
          </w:pPr>
          <w:r>
            <w:fldChar w:fldCharType="begin"/>
          </w:r>
          <w:r>
            <w:instrText xml:space="preserve"> HYPERLINK \l _Toc4451 </w:instrText>
          </w:r>
          <w:r>
            <w:fldChar w:fldCharType="separate"/>
          </w:r>
          <w:r>
            <w:rPr>
              <w:rFonts w:hint="eastAsia" w:cs="宋体" w:asciiTheme="majorEastAsia" w:hAnsiTheme="majorEastAsia" w:eastAsiaTheme="majorEastAsia"/>
              <w:bCs/>
            </w:rPr>
            <w:t>第六章附则</w:t>
          </w:r>
          <w:r>
            <w:tab/>
          </w:r>
          <w:r>
            <w:fldChar w:fldCharType="begin"/>
          </w:r>
          <w:r>
            <w:instrText xml:space="preserve"> PAGEREF _Toc4451 \h </w:instrText>
          </w:r>
          <w:r>
            <w:fldChar w:fldCharType="separate"/>
          </w:r>
          <w:r>
            <w:t>825</w:t>
          </w:r>
          <w:r>
            <w:fldChar w:fldCharType="end"/>
          </w:r>
          <w:r>
            <w:fldChar w:fldCharType="end"/>
          </w:r>
        </w:p>
        <w:p>
          <w:pPr>
            <w:pStyle w:val="11"/>
            <w:tabs>
              <w:tab w:val="right" w:leader="dot" w:pos="8306"/>
            </w:tabs>
          </w:pPr>
          <w:r>
            <w:fldChar w:fldCharType="begin"/>
          </w:r>
          <w:r>
            <w:instrText xml:space="preserve"> HYPERLINK \l _Toc32624 </w:instrText>
          </w:r>
          <w:r>
            <w:fldChar w:fldCharType="separate"/>
          </w:r>
          <w:r>
            <w:rPr>
              <w:rFonts w:cs="宋体" w:asciiTheme="majorEastAsia" w:hAnsiTheme="majorEastAsia" w:eastAsiaTheme="majorEastAsia"/>
              <w:bCs/>
              <w:szCs w:val="24"/>
              <w:lang w:val="en-US" w:eastAsia="zh-CN" w:bidi="ar-SA"/>
            </w:rPr>
            <w:t>133.</w:t>
          </w:r>
          <w:r>
            <w:rPr>
              <w:rFonts w:hint="eastAsia"/>
            </w:rPr>
            <w:t>《人民币银团贷款代理行操作指南》</w:t>
          </w:r>
          <w:r>
            <w:tab/>
          </w:r>
          <w:r>
            <w:fldChar w:fldCharType="begin"/>
          </w:r>
          <w:r>
            <w:instrText xml:space="preserve"> PAGEREF _Toc32624 \h </w:instrText>
          </w:r>
          <w:r>
            <w:fldChar w:fldCharType="separate"/>
          </w:r>
          <w:r>
            <w:t>826</w:t>
          </w:r>
          <w:r>
            <w:fldChar w:fldCharType="end"/>
          </w:r>
          <w:r>
            <w:fldChar w:fldCharType="end"/>
          </w:r>
        </w:p>
        <w:p>
          <w:pPr>
            <w:pStyle w:val="11"/>
            <w:tabs>
              <w:tab w:val="right" w:leader="dot" w:pos="8306"/>
            </w:tabs>
          </w:pPr>
          <w:r>
            <w:fldChar w:fldCharType="begin"/>
          </w:r>
          <w:r>
            <w:instrText xml:space="preserve"> HYPERLINK \l _Toc21341 </w:instrText>
          </w:r>
          <w:r>
            <w:fldChar w:fldCharType="separate"/>
          </w:r>
          <w:r>
            <w:rPr>
              <w:rFonts w:hint="eastAsia" w:cs="宋体" w:asciiTheme="majorEastAsia" w:hAnsiTheme="majorEastAsia" w:eastAsiaTheme="majorEastAsia"/>
            </w:rPr>
            <w:t>第一章　总则</w:t>
          </w:r>
          <w:r>
            <w:tab/>
          </w:r>
          <w:r>
            <w:fldChar w:fldCharType="begin"/>
          </w:r>
          <w:r>
            <w:instrText xml:space="preserve"> PAGEREF _Toc21341 \h </w:instrText>
          </w:r>
          <w:r>
            <w:fldChar w:fldCharType="separate"/>
          </w:r>
          <w:r>
            <w:t>826</w:t>
          </w:r>
          <w:r>
            <w:fldChar w:fldCharType="end"/>
          </w:r>
          <w:r>
            <w:fldChar w:fldCharType="end"/>
          </w:r>
        </w:p>
        <w:p>
          <w:pPr>
            <w:pStyle w:val="11"/>
            <w:tabs>
              <w:tab w:val="right" w:leader="dot" w:pos="8306"/>
            </w:tabs>
          </w:pPr>
          <w:r>
            <w:fldChar w:fldCharType="begin"/>
          </w:r>
          <w:r>
            <w:instrText xml:space="preserve"> HYPERLINK \l _Toc29133 </w:instrText>
          </w:r>
          <w:r>
            <w:fldChar w:fldCharType="separate"/>
          </w:r>
          <w:r>
            <w:rPr>
              <w:rFonts w:hint="eastAsia" w:cs="宋体" w:asciiTheme="majorEastAsia" w:hAnsiTheme="majorEastAsia" w:eastAsiaTheme="majorEastAsia"/>
            </w:rPr>
            <w:t>第二章　代理行的职能</w:t>
          </w:r>
          <w:r>
            <w:tab/>
          </w:r>
          <w:r>
            <w:fldChar w:fldCharType="begin"/>
          </w:r>
          <w:r>
            <w:instrText xml:space="preserve"> PAGEREF _Toc29133 \h </w:instrText>
          </w:r>
          <w:r>
            <w:fldChar w:fldCharType="separate"/>
          </w:r>
          <w:r>
            <w:t>826</w:t>
          </w:r>
          <w:r>
            <w:fldChar w:fldCharType="end"/>
          </w:r>
          <w:r>
            <w:fldChar w:fldCharType="end"/>
          </w:r>
        </w:p>
        <w:p>
          <w:pPr>
            <w:pStyle w:val="11"/>
            <w:tabs>
              <w:tab w:val="right" w:leader="dot" w:pos="8306"/>
            </w:tabs>
          </w:pPr>
          <w:r>
            <w:fldChar w:fldCharType="begin"/>
          </w:r>
          <w:r>
            <w:instrText xml:space="preserve"> HYPERLINK \l _Toc10881 </w:instrText>
          </w:r>
          <w:r>
            <w:fldChar w:fldCharType="separate"/>
          </w:r>
          <w:r>
            <w:rPr>
              <w:rFonts w:hint="eastAsia" w:cs="宋体" w:asciiTheme="majorEastAsia" w:hAnsiTheme="majorEastAsia" w:eastAsiaTheme="majorEastAsia"/>
            </w:rPr>
            <w:t>第三章　代理行的资质与指定</w:t>
          </w:r>
          <w:r>
            <w:tab/>
          </w:r>
          <w:r>
            <w:fldChar w:fldCharType="begin"/>
          </w:r>
          <w:r>
            <w:instrText xml:space="preserve"> PAGEREF _Toc10881 \h </w:instrText>
          </w:r>
          <w:r>
            <w:fldChar w:fldCharType="separate"/>
          </w:r>
          <w:r>
            <w:t>827</w:t>
          </w:r>
          <w:r>
            <w:fldChar w:fldCharType="end"/>
          </w:r>
          <w:r>
            <w:fldChar w:fldCharType="end"/>
          </w:r>
        </w:p>
        <w:p>
          <w:pPr>
            <w:pStyle w:val="11"/>
            <w:tabs>
              <w:tab w:val="right" w:leader="dot" w:pos="8306"/>
            </w:tabs>
          </w:pPr>
          <w:r>
            <w:fldChar w:fldCharType="begin"/>
          </w:r>
          <w:r>
            <w:instrText xml:space="preserve"> HYPERLINK \l _Toc23622 </w:instrText>
          </w:r>
          <w:r>
            <w:fldChar w:fldCharType="separate"/>
          </w:r>
          <w:r>
            <w:rPr>
              <w:rFonts w:hint="eastAsia" w:cs="宋体" w:asciiTheme="majorEastAsia" w:hAnsiTheme="majorEastAsia" w:eastAsiaTheme="majorEastAsia"/>
            </w:rPr>
            <w:t>第四章　代理行的主要责任</w:t>
          </w:r>
          <w:r>
            <w:tab/>
          </w:r>
          <w:r>
            <w:fldChar w:fldCharType="begin"/>
          </w:r>
          <w:r>
            <w:instrText xml:space="preserve"> PAGEREF _Toc23622 \h </w:instrText>
          </w:r>
          <w:r>
            <w:fldChar w:fldCharType="separate"/>
          </w:r>
          <w:r>
            <w:t>827</w:t>
          </w:r>
          <w:r>
            <w:fldChar w:fldCharType="end"/>
          </w:r>
          <w:r>
            <w:fldChar w:fldCharType="end"/>
          </w:r>
        </w:p>
        <w:p>
          <w:pPr>
            <w:pStyle w:val="11"/>
            <w:tabs>
              <w:tab w:val="right" w:leader="dot" w:pos="8306"/>
            </w:tabs>
          </w:pPr>
          <w:r>
            <w:fldChar w:fldCharType="begin"/>
          </w:r>
          <w:r>
            <w:instrText xml:space="preserve"> HYPERLINK \l _Toc11144 </w:instrText>
          </w:r>
          <w:r>
            <w:fldChar w:fldCharType="separate"/>
          </w:r>
          <w:r>
            <w:rPr>
              <w:rFonts w:hint="eastAsia" w:cs="宋体" w:asciiTheme="majorEastAsia" w:hAnsiTheme="majorEastAsia" w:eastAsiaTheme="majorEastAsia"/>
            </w:rPr>
            <w:t>第五章　代理行的有限职责、责任和权利</w:t>
          </w:r>
          <w:r>
            <w:tab/>
          </w:r>
          <w:r>
            <w:fldChar w:fldCharType="begin"/>
          </w:r>
          <w:r>
            <w:instrText xml:space="preserve"> PAGEREF _Toc11144 \h </w:instrText>
          </w:r>
          <w:r>
            <w:fldChar w:fldCharType="separate"/>
          </w:r>
          <w:r>
            <w:t>832</w:t>
          </w:r>
          <w:r>
            <w:fldChar w:fldCharType="end"/>
          </w:r>
          <w:r>
            <w:fldChar w:fldCharType="end"/>
          </w:r>
        </w:p>
        <w:p>
          <w:pPr>
            <w:pStyle w:val="11"/>
            <w:tabs>
              <w:tab w:val="right" w:leader="dot" w:pos="8306"/>
            </w:tabs>
          </w:pPr>
          <w:r>
            <w:fldChar w:fldCharType="begin"/>
          </w:r>
          <w:r>
            <w:instrText xml:space="preserve"> HYPERLINK \l _Toc26500 </w:instrText>
          </w:r>
          <w:r>
            <w:fldChar w:fldCharType="separate"/>
          </w:r>
          <w:r>
            <w:rPr>
              <w:rFonts w:hint="eastAsia" w:cs="宋体" w:asciiTheme="majorEastAsia" w:hAnsiTheme="majorEastAsia" w:eastAsiaTheme="majorEastAsia"/>
              <w:bCs/>
              <w:szCs w:val="24"/>
              <w:lang w:val="en-US" w:eastAsia="zh-CN" w:bidi="ar-SA"/>
            </w:rPr>
            <w:t>134.</w:t>
          </w:r>
          <w:r>
            <w:rPr>
              <w:rFonts w:hint="eastAsia"/>
            </w:rPr>
            <w:t>《国家金融监督管理总局关于做好续贷工作提高小微企业金融服务水平的通知》</w:t>
          </w:r>
          <w:r>
            <w:tab/>
          </w:r>
          <w:r>
            <w:fldChar w:fldCharType="begin"/>
          </w:r>
          <w:r>
            <w:instrText xml:space="preserve"> PAGEREF _Toc26500 \h </w:instrText>
          </w:r>
          <w:r>
            <w:fldChar w:fldCharType="separate"/>
          </w:r>
          <w:r>
            <w:t>835</w:t>
          </w:r>
          <w:r>
            <w:fldChar w:fldCharType="end"/>
          </w:r>
          <w:r>
            <w:fldChar w:fldCharType="end"/>
          </w:r>
        </w:p>
        <w:p>
          <w:r>
            <w:fldChar w:fldCharType="end"/>
          </w:r>
        </w:p>
      </w:sdtContent>
    </w:sdt>
    <w:p>
      <w:pPr>
        <w:spacing w:after="156" w:afterLines="50" w:line="360" w:lineRule="auto"/>
        <w:jc w:val="center"/>
        <w:rPr>
          <w:rFonts w:cs="黑体" w:asciiTheme="majorEastAsia" w:hAnsiTheme="majorEastAsia" w:eastAsiaTheme="majorEastAsia"/>
          <w:b/>
          <w:bCs/>
          <w:sz w:val="32"/>
          <w:szCs w:val="32"/>
        </w:rPr>
      </w:pPr>
      <w:r>
        <w:rPr>
          <w:rFonts w:hint="eastAsia" w:cs="黑体" w:asciiTheme="majorEastAsia" w:hAnsiTheme="majorEastAsia" w:eastAsiaTheme="majorEastAsia"/>
          <w:b/>
          <w:bCs/>
          <w:sz w:val="32"/>
          <w:szCs w:val="32"/>
        </w:rPr>
        <w:t>规范性文件</w:t>
      </w:r>
    </w:p>
    <w:p>
      <w:pPr>
        <w:pStyle w:val="2"/>
        <w:numPr>
          <w:ilvl w:val="0"/>
          <w:numId w:val="0"/>
        </w:numPr>
        <w:ind w:left="922" w:leftChars="0" w:hanging="440" w:firstLineChars="0"/>
      </w:pPr>
      <w:bookmarkStart w:id="0" w:name="_Toc24504"/>
      <w:r>
        <w:rPr>
          <w:rFonts w:cs="宋体" w:asciiTheme="majorEastAsia" w:hAnsiTheme="majorEastAsia" w:eastAsiaTheme="majorEastAsia"/>
          <w:b/>
          <w:bCs/>
          <w:sz w:val="24"/>
          <w:szCs w:val="24"/>
          <w:lang w:val="en-US" w:eastAsia="zh-CN" w:bidi="ar-SA"/>
        </w:rPr>
        <w:t>1.</w:t>
      </w:r>
      <w:r>
        <w:rPr>
          <w:rFonts w:hint="eastAsia"/>
        </w:rPr>
        <w:t>《中华人民共和国票据法（2004修正）》</w:t>
      </w:r>
      <w:bookmarkEnd w:id="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发文机构：全国人大常委会</w:t>
      </w:r>
      <w:r>
        <w:rPr>
          <w:rFonts w:hint="eastAsia" w:cs="宋体" w:asciiTheme="majorEastAsia" w:hAnsiTheme="majorEastAsia" w:eastAsiaTheme="majorEastAsia"/>
          <w:lang w:val="en-US" w:eastAsia="zh-CN"/>
        </w:rPr>
        <w:t xml:space="preserve">       </w:t>
      </w:r>
      <w:r>
        <w:rPr>
          <w:rFonts w:hint="eastAsia" w:cs="宋体" w:asciiTheme="majorEastAsia" w:hAnsiTheme="majorEastAsia" w:eastAsiaTheme="majorEastAsia"/>
        </w:rPr>
        <w:t>文号：中华人民共和国主席令第22号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（1995年5月10日第八届全国人民代表大会常务委员会第十三次会议通过根据2004年8月28日第十届全国人民代表大会常务委员会第十一次会议《关于修改〈中华人民共和国票据法〉的决定》修正）</w:t>
      </w:r>
    </w:p>
    <w:p>
      <w:pPr>
        <w:spacing w:after="156" w:afterLines="50" w:line="360" w:lineRule="auto"/>
        <w:ind w:firstLine="482" w:firstLineChars="200"/>
        <w:outlineLvl w:val="0"/>
        <w:rPr>
          <w:rFonts w:cs="宋体" w:asciiTheme="majorEastAsia" w:hAnsiTheme="majorEastAsia" w:eastAsiaTheme="majorEastAsia"/>
          <w:b/>
          <w:bCs/>
        </w:rPr>
      </w:pPr>
      <w:bookmarkStart w:id="1" w:name="_Toc13427"/>
      <w:r>
        <w:rPr>
          <w:rFonts w:hint="eastAsia" w:cs="宋体" w:asciiTheme="majorEastAsia" w:hAnsiTheme="majorEastAsia" w:eastAsiaTheme="majorEastAsia"/>
          <w:b/>
          <w:bCs/>
        </w:rPr>
        <w:t>第一章总则</w:t>
      </w:r>
      <w:bookmarkEnd w:id="1"/>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为了规范票据行为，保障票据活动中当事人的合法权益，维护社会经济秩序，促进社会主义市场经济的发展，制定本法。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在中华人民共和国境内的票据活动，适用本法。</w:t>
      </w:r>
    </w:p>
    <w:p>
      <w:pPr>
        <w:spacing w:after="156" w:afterLines="50" w:line="360" w:lineRule="auto"/>
        <w:ind w:firstLine="480" w:firstLineChars="200"/>
        <w:rPr>
          <w:rFonts w:cs="宋体" w:asciiTheme="majorEastAsia" w:hAnsiTheme="majorEastAsia" w:eastAsiaTheme="majorEastAsia"/>
          <w:highlight w:val="none"/>
        </w:rPr>
      </w:pPr>
      <w:r>
        <w:rPr>
          <w:rFonts w:hint="eastAsia" w:cs="宋体" w:asciiTheme="majorEastAsia" w:hAnsiTheme="majorEastAsia" w:eastAsiaTheme="majorEastAsia"/>
          <w:highlight w:val="none"/>
        </w:rPr>
        <w:t>本法所称票据，是指汇票、本票和支票。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票据活动应当遵守法律、行政法规，不得损害社会公共利益。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票据出票人制作票据，应当按照法定条件在票据上签章，并按照所记载的事项承担票据责任。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持票人行使票据权利，应当按照法定程序在票据上签章，并出示票据。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其他票据债务人在票据上签章的，按照票据所记载的事项承担票据责任。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本法所称票据权利，是指持票人向票据债务人请求支付票据金额的权利，包括付款请求权和追索权。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本法所称票据责任，是指票据债务人向持票人支付票据金额的义务。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票据当事人可以委托其代理人在票据上签章，并应当在票据上表明其代理关系。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没有代理权而以代理人名义在票据上签章的，应当由签章人承担票据责任；代理人超越代理权限的，应当就其超越权限的部分承担票据责任。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无民事行为能力人或者限制民事行为能力人在票据上签章的，其签章无效，但是不影响其他签章的效力。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票据上的签章，为签名、盖章或者签名加盖章。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法人和其他使用票据的单位在票据上的签章，为该法人或者该单位的盖章加其法定代表人或者其授权的代理人的签章。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在票据上的签名，应当为该当事人的本名。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票据金额以中文大写和数码同时记载，二者必须一致，二者不一致的，票据无效。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票据上的记载事项必须符合本法的规定。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票据金额、日期、收款人名称不得更改，更改的票据无效。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对票据上的其他记载事项，原记载人可以更改，更改时应当由原记载人签章证明。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票据的签发、取得和转让，应当遵循诚实信用的原则，具有真实的交易关系和债权债务关系。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票据的取得，必须给付对价，即应当给付票据双方当事人认可的相对应的代价。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因税收、继承、赠与可以依法无偿取得票据的，不受给付对价的限制。但是，所享有的票据权利不得优于其前手的权利。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前手是指在票据签章人或者持票人之前签章的其他票据债务人。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以欺诈、偷盗或者胁迫等手段取得票据的，或者明知有前列情形，出于恶意取得票据的，不得享有票据权利。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持票人因重大过失取得不符合本法规定的票据的，也不得享有票据权利。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票据债务人不得以自己与出票人或者与持票人的前手之间的抗辩事由，对抗持票人。但是，持票人明知存在抗辩事由而取得票据的除外。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票据债务人可以对不履行约定义务的与自己有直接债权债务关系的持票人，进行抗辩。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本法所称抗辩，是指票据债务人根据本法规定对票据债权人拒绝履行义务的行为。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票据上的记载事项应当真实，不得伪造、变造。伪造、变造票据上的签章和其他记载事项的，应当承担法律责任。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票据上有伪造、变造的签章的，不影响票据上其他真实签章的效力。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票据上其他记载事项被变造的，在变造之前签章的人，对原记载事项负责；在变造之后签章的人，对变造之后的记载事项负责；不能辨别是在票据被变造之前或者之后签章的，视同在变造之前签章。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票据丧失，失票人可以及时通知票据的付款人挂失止付，但是，未记载付款人或者无法确定付款人及其代理付款人的票据除外。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收到挂失止付通知的付款人，应当暂停支付。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失票人应当在通知挂失止付后三日内，也可以在票据丧失后，依法向人民法院申请公示催告，或者向人民法院提起诉讼。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持票人对票据债务人行使票据权利，或者保全票据权利，应当在票据当事人的营业场所和营业时间内进行，票据当事人无营业场所的，应当在其住所进行。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票据权利在下列期限内不行使而消灭：</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（一）持票人对票据的出票人和承兑人的权利，自票据到期日起二年。见票即付的汇票、本票，自出票日起二年；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（二）持票人对支票出票人的权利，自出票日起六个月；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（三）持票人对前手的追索权，自被拒绝承兑或者被拒绝付款之日起六个月；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（四）持票人对前手的再追索权，自清偿日或者被提起诉讼之日起三个月。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票据的出票日、到期日由票据当事人依法确定。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持票人因超过票据权利时效或者因票据记载事项欠缺而丧失票据权利的，仍享有民事权利，可以请求出票人或者承兑人返还其与未支付的票据金额相当的利益。</w:t>
      </w:r>
    </w:p>
    <w:p>
      <w:pPr>
        <w:spacing w:after="156" w:afterLines="50" w:line="360" w:lineRule="auto"/>
        <w:ind w:firstLine="482" w:firstLineChars="200"/>
        <w:outlineLvl w:val="0"/>
        <w:rPr>
          <w:rFonts w:cs="宋体" w:asciiTheme="majorEastAsia" w:hAnsiTheme="majorEastAsia" w:eastAsiaTheme="majorEastAsia"/>
          <w:b/>
          <w:bCs/>
        </w:rPr>
      </w:pPr>
      <w:bookmarkStart w:id="2" w:name="_Toc10897"/>
      <w:r>
        <w:rPr>
          <w:rFonts w:hint="eastAsia" w:cs="宋体" w:asciiTheme="majorEastAsia" w:hAnsiTheme="majorEastAsia" w:eastAsiaTheme="majorEastAsia"/>
          <w:b/>
          <w:bCs/>
        </w:rPr>
        <w:t>第二章汇票</w:t>
      </w:r>
      <w:bookmarkEnd w:id="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第一节出票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汇票是出票人签发的，委托付款人在见票时或者在指定日期无条件支付确定的金额给收款人或者持票人的票据。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汇票分为银行汇票和商业汇票。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出票是指出票人签发票据并将其交付给收款人的票据行为。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汇票的出票人必须与付款人具有真实的委托付款关系，并且具有支付汇票金额的可靠资金来源。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不得签发无对价的汇票用以骗取银行或者其他票据当事人的资金。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汇票必须记载下列事项：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（一）表明“汇票”的字样；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（二）无条件支付的委托；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（三）确定的金额；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（四）付款人名称；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（五）收款人名称；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（六）出票日期；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（七）出票人签章。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汇票上未记载前款规定事项之一的，汇票无效。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 汇票上记载付款日期、付款地、出票地等事项的，应当清楚、明确。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汇票上未记载付款日期的，为见票即付。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汇票上未记载付款地的，付款人的营业场所、住所或者经常居住地为付款地。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汇票上未记载出票地的，出票人的营业场所、住所或者经常居住地为出票地。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 汇票上可以记载本法规定事项以外的其他出票事项，但是该记载事项不具有汇票上的效力。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 付款日期可以按照下列形式之一记载：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（一）见票即付；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（二）定日付款；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（三）出票后定期付款；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（四）见票后定期付款。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前款规定的付款日期为汇票到期日。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 出票人签发汇票后，即承担保证该汇票承兑和付款的责任。出票人在汇票得不到承兑或者付款时，应当向持票人清偿本法第七十条、第七十一条规定的金额和费用。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第二节背书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 持票人可以将汇票权利转让给他人或者将一定的汇票权利授予他人行使。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出票人在汇票上记载“不得转让”字样的，汇票不得转让。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持票人行使第一款规定的权利时，应当背书并交付汇票。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背书是指在票据背面或者粘单上记载有关事项并签章的票据行为。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 票据凭证不能满足背书人记载事项的需要，可以加附粘单，粘附于票据凭证上。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粘单上的第一记载人，应当在汇票和粘单的粘接处签章。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 背书由背书人签章并记载背书日期。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背书未记载日期的，视为在汇票到期日前背书。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第三十条 汇票以背书转让或者以背书将一定的汇票权利授予他人行使时，必须记载被背书人名称。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第三十一条 以背书转让的汇票，背书应当连续。持票人以背书的连续，证明其汇票权利；非经背书转让，而以其他合法方式取得汇票的，依法举证，证明其汇票权利。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前款所称背书连续，是指在票据转让中，转让汇票的背书人与受让汇票的被背书人在汇票上的签章依次前后衔接。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第三十二条 以背书转让的汇票，后手应当对其直接前手背书的真实性负责。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后手是指在票据签章人之后签章的其他票据债务人。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第三十三条 背书不得附有条件。背书时附有条件的，所附条件不具有汇票上的效力。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将汇票金额的一部分转让的背书或者将汇票金额分别转让给二人以上的背书无效。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第三十四条 背书人在汇票上记载“不得转让”字样，其后手再背书转让的，原背书人对后手的被背书人不承担保证责任。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第三十五条 背书记载“委托收款”字样的，被背书人有权代背书人行使被委托的汇票权利。但是，被背书人不得再以背书转让汇票权利。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汇票可以设定质押；质押时应当以背书记载“质押”字样。被背书人依法实现其质权时，可以行使汇票权利。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第三十六条 汇票被拒绝承兑、被拒绝付款或者超过付款提示期限的，不得背书转让；背书转让的，背书人应当承担汇票责任。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第三十七条 背书人以背书转让汇票后，即承担保证其后手所持汇票承兑和付款的责任。背书人在汇票得不到承兑或者付款时，应当向持票人清偿本法第七十条、第七十一条规定的金额和费用。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第三节承兑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第三十八条 承兑是指汇票付款人承诺在汇票到期日支付汇票金额的票据行为。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第三十九条 定日付款或者出票后定期付款的汇票，持票人应当在汇票到期日前向付款人提示承兑。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提示承兑是指持票人向付款人出示汇票，并要求付款人承诺付款的行为。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第四十条 见票后定期付款的汇票，持票人应当自出票日起一个月内向付款人提示承兑。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汇票未按照规定期限提示承兑的，持票人丧失对其前手的追索权。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见票即付的汇票无需提示承兑。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第四十一条 付款人对向其提示承兑的汇票，应当自收到提示承兑的汇票之日起三日内承兑或者拒绝承兑。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付款人收到持票人提示承兑的汇票时，应当向持票人签发收到汇票的回单。回单上应当记明汇票提示承兑日期并签章。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第四十二条 付款人承兑汇票的，应当在汇票正面记载“承兑”字样和承兑日期并签章；见票后定期付款的汇票，应当在承兑时记载付款日期。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汇票上未记载承兑日期的，以前条第一款规定期限的最后一日为承兑日期。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第四十三条 付款人承兑汇票，不得附有条件；承兑附有条件的，视为拒绝承兑。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第四十四条 付款人承兑汇票后，应当承担到期付款的责任。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第四节保证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第四十五条 汇票的债务可以由保证人承担保证责任。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保证人由汇票债务人以外的他人担当。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第四十六条 保证人必须在汇票或者粘单上记载下列事项：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（一）表明“保证”的字样；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（二）保证人名称和住所；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（三）被保证人的名称；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（四）保证日期；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（五）保证人签章。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第四十七条 保证人在汇票或者粘单上未记载前条第（三）项的，已承兑的汇票，承兑人为被保证人；未承兑的汇票，出票人为被保证人。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保证人在汇票或者粘单上未记载前条第（四）项的，出票日期为保证日期。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第四十八条 保证不得附有条件；附有条件的，不影响对汇票的保证责任。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第四十九条 保证人对合法取得汇票的持票人所享有的汇票权利，承担保证责任。但是，被保证人的债务因汇票记载事项欠缺而无效的除外。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第五十条 被保证的汇票，保证人应当与被保证人对持票人承担连带责任。汇票到期后得不到付款的，持票人有权向保证人请求付款，保证人应当足额付款。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第五十一条 保证人为二人以上的，保证人之间承担连带责任。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第五十二条 保证人清偿汇票债务后，可以行使持票人对被保证人及其前手的追索权。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第五节付款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第五十三条 持票人应当按照下列期限提示付款：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（一）见票即付的汇票，自出票日起一个月内向付款人提示付款；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（二）定日付款、出票后定期付款或者见票后定期付款的汇票，自到期日起十日内向承兑人提示付款。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持票人未按照前款规定期限提示付款的，在作出说明后，承兑人或者付款人仍应当继续对持票人承担付款责任。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通过委托收款银行或者通过票据交换系统向付款人提示付款的，视同持票人提示付款。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第五十四条 持票人依照前条规定提示付款的，付款人必须在当日足额付款。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第五十五条 持票人获得付款的，应当在汇票上签收，并将汇票交给付款人。持票人委托银行收款的，受委托的银行将代收的汇票金额转账收入持票人账户，视同签收。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第五十六条 持票人委托的收款银行的责任，限于按照汇票上记载事项将汇票金额转入持票人账户。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付款人委托的付款银行的责任，限于按照汇票上记载事项从付款人账户支付汇票金额。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第五十七条 付款人及其代理付款人付款时，应当审查汇票背书的连续，并审查提示付款人的合法身份证明或者有效证件。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付款人及其代理付款人以恶意或者有重大过失付款的，应当自行承担责任。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第五十八条 对定日付款、出票后定期付款或者见票后定期付款的汇票，付款人在到期日前付款的，由付款人自行承担所产生的责任。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第五十九条 汇票金额为外币的，按照付款日的市场汇价，以人民币支付。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汇票当事人对汇票支付的货币种类另有约定的，从其约定。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第六十条 付款人依法足额付款后，全体汇票债务人的责任解除。</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第六节追索权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第六十一条 汇票到期被拒绝付款的，持票人可以对背书人、出票人以及汇票的其他债务人行使追索权。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汇票到期日前，有下列情形之一的，持票人也可以行使追索权：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（一）汇票被拒绝承兑的；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（二）承兑人或者付款人死亡、逃匿的；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（三）承兑人或者付款人被依法宣告破产的或者因违法被责令终止业务活动的。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第六十二条 持票人行使追索权时，应当提供被拒绝承兑或者被拒绝付款的有关证明。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持票人提示承兑或者提示付款被拒绝的，承兑人或者付款人必须出具拒绝证明，或者出具退票理由书。未出具拒绝证明或者退票理由书的，应当承担由此产生的民事责任。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第六十三条 持票人因承兑人或者付款人死亡、逃匿或者其他原因，不能取得拒绝证明的，可以依法取得其他有关证明。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第六十四条 承兑人或者付款人被人民法院依法宣告破产的，人民法院的有关司法文书具有拒绝证明的效力。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承兑人或者付款人因违法被责令终止业务活动的，有关行政主管部门的处罚决定具有拒绝证明的效力。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第六十五条 持票人不能出示拒绝证明、退票理由书或者未按照规定期限提供其他合法证明的，丧失对其前手的追索权。但是，承兑人或者付款人仍应当对持票人承担责任。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第六十六条 持票人应当自收到被拒绝承兑或者被拒绝付款的有关证明之日起三日内，将被拒绝事由书面通知其前手；其前手应当自收到通知之日起三日内书面通知其再前手。持票人也可以同时向各汇票债务人发出书面通知。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未按照前款规定期限通知的，持票人仍可以行使追索权。因延期通知给其前手或者出票人造成损失的，由没有按照规定期限通知的汇票当事人，承担对该损失的赔偿责任，但是所赔偿的金额以汇票金额为限。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在规定期限内将通知按照法定地址或者约定的地址邮寄的，视为已经发出通知。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第六十七条 依照前条第一款所作的书面通知，应当记明汇票的主要记载事项，并说明该汇票已被退票。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第六十八条 汇票的出票人、背书人、承兑人和保证人对持票人承担连带责任。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持票人可以不按照汇票债务人的先后顺序，对其中任何一人、数人或者全体行使追索权。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持票人对汇票债务人中的一人或者数人已经进行追索的，对其他汇票债务人仍可以行使追索权。被追索人清偿债务后，与持票人享有同一权利。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第六十九条 持票人为出票人的，对其前手无追索权。持票人为背书人的，对其后手无追索权。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第七十条 持票人行使追索权，可以请求被追索人支付下列金额和费用：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（一）被拒绝付款的汇票金额；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（二）汇票金额自到期日或者提示付款日起至清偿日止，按照中国人民银行规定的利率计算的利息；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（三）取得有关拒绝证明和发出通知书的费用。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被追索人清偿债务时，持票人应当交出汇票和有关拒绝证明，并出具所收到利息和费用的收据。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第七十一条 被追索人依照前条规定清偿后，可以向其他汇票债务人行使再追索权，请求其他汇票债务人支付下列金额和费用：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（一）已清偿的全部金额；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（二）前项金额自清偿日起至再追索清偿日止，按照中国人民银行规定的利率计算的利息；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（三）发出通知书的费用。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行使再追索权的被追索人获得清偿时，应当交出汇票和有关拒绝证明，并出具所收到利息和费用的收据。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第七十二条 被追索人依照前二条规定清偿债务后，其责任解除。</w:t>
      </w:r>
    </w:p>
    <w:p>
      <w:pPr>
        <w:spacing w:after="156" w:afterLines="50" w:line="360" w:lineRule="auto"/>
        <w:ind w:firstLine="482" w:firstLineChars="200"/>
        <w:outlineLvl w:val="0"/>
        <w:rPr>
          <w:rFonts w:cs="宋体" w:asciiTheme="majorEastAsia" w:hAnsiTheme="majorEastAsia" w:eastAsiaTheme="majorEastAsia"/>
          <w:b/>
          <w:bCs/>
        </w:rPr>
      </w:pPr>
      <w:bookmarkStart w:id="3" w:name="_Toc1718"/>
      <w:r>
        <w:rPr>
          <w:rFonts w:hint="eastAsia" w:cs="宋体" w:asciiTheme="majorEastAsia" w:hAnsiTheme="majorEastAsia" w:eastAsiaTheme="majorEastAsia"/>
          <w:b/>
          <w:bCs/>
        </w:rPr>
        <w:t>第三章本票</w:t>
      </w:r>
      <w:bookmarkEnd w:id="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第七十三条 本票是出票人签发的，承诺自己在见票时无条件支付确定的金额给收款人或者持票人的票据。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本法所称本票，是指银行本票。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第七十四条 本票的出票人必须具有支付本票金额的可靠资金来源，并保证支付。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第七十五条 本票必须记载下列事项：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（一）表明“本票”的字样；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（二）无条件支付的承诺；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（三）确定的金额；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（四）收款人名称；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（五）出票日期；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（六）出票人签章。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本票上未记载前款规定事项之一的，本票无效。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第七十六条 本票上记载付款地、出票地等事项的，应当清楚、明确。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本票上未记载付款地的，出票人的营业场所为付款地。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本票上未记载出票地的，出票人的营业场所为出票地。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第七十七条 本票的出票人在持票人提示见票时，必须承担付款的责任。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第七十八条 本票自出票日起，付款期限最长不得超过二个月。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第七十九条 本票的持票人未按照规定期限提示见票的，丧失对出票人以外的前手的追索权。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第八十条 本票的背书、保证、付款行为和追索权的行使，除本章规定外，适用本法第二章有关汇票的规定。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本票的出票行为，除本章规定外，适用本法第二十四条关于汇票的规定。</w:t>
      </w:r>
    </w:p>
    <w:p>
      <w:pPr>
        <w:spacing w:after="156" w:afterLines="50" w:line="360" w:lineRule="auto"/>
        <w:ind w:firstLine="482" w:firstLineChars="200"/>
        <w:outlineLvl w:val="0"/>
        <w:rPr>
          <w:rFonts w:cs="宋体" w:asciiTheme="majorEastAsia" w:hAnsiTheme="majorEastAsia" w:eastAsiaTheme="majorEastAsia"/>
          <w:b/>
          <w:bCs/>
        </w:rPr>
      </w:pPr>
      <w:bookmarkStart w:id="4" w:name="_Toc9337"/>
      <w:r>
        <w:rPr>
          <w:rFonts w:hint="eastAsia" w:cs="宋体" w:asciiTheme="majorEastAsia" w:hAnsiTheme="majorEastAsia" w:eastAsiaTheme="majorEastAsia"/>
          <w:b/>
          <w:bCs/>
        </w:rPr>
        <w:t>第四章支票</w:t>
      </w:r>
      <w:bookmarkEnd w:id="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第八十一条 支票是出票人签发的，委托办理支票存款业务的银行或者其他金融机构在见票时无条件支付确定的金额给收款人或者持票人的票据。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第八十二条 开立支票存款账户，申请人必须使用其本名，并提交证明其身份的合法证件。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开立支票存款账户和领用支票，应当有可靠的资信，并存入一定的资金。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开立支票存款账户，申请人应当预留其本名的签名式样和印鉴。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第八十三条 支票可以支取现金，也可以转账，用于转账时，应当在支票正面注明。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支票中专门用于支取现金的，可以另行制作现金支票，现金支票只能用于支取现金。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支票中专门用于转账的，可以另行制作转账支票，转账支票只能用于转账，不得支取现金。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第八十四条 支票必须记载下列事项：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（一）表明“支票”的字样；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（二）无条件支付的委托；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（三）确定的金额；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（四）付款人名称；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（五）出票日期；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（六）出票人签章。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支票上未记载前款规定事项之一的，支票无效。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第八十五条 支票上的金额可以由出票人授权补记，未补记前的支票，不得使用。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第八十六条 支票上未记载收款人名称的，经出票人授权，可以补记。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支票上未记载付款地的，付款人的营业场所为付款地。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支票上未记载出票地的，出票人的营业场所、住所或者经常居住地为出票地。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出票人可以在支票上记载自己为收款人。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第八十七条 支票的出票人所签发的支票金额不得超过其付款时在付款人处实有的存款金额。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出票人签发的支票金额超过其付款时在付款人处实有的存款金额的，为空头支票。禁止签发空头支票。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第八十八条 支票的出票人不得签发与其预留本名的签名式样或者印鉴不符的支票。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第八十九条 出票人必须按照签发的支票金额承担保证向该持票人付款的责任。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出票人在付款人处的存款足以支付支票金额时，付款人应当在当日足额付款。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第九十条 支票限于见票即付，不得另行记载付款日期。另行记载付款日期的，该记载无效。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第九十一条 支票的持票人应当自出票日起十日内提示付款；异地使用的支票，其提示付款的期限由中国人民银行另行规定。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超过提示付款期限的，付款人可以不予付款；付款人不予付款的，出票人仍应当对持票人承担票据责任。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第九十二条 付款人依法支付支票金额的，对出票人不再承担受委托付款的责任，对持票人不再承担付款的责任。但是，付款人以恶意或者有重大过失付款的除外。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第九十三条 支票的背书、付款行为和追索权的行使，除本章规定外，适用本法第二章有关汇票的规定。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支票的出票行为，除本章规定外，适用本法第二十四条、第二十六条关于汇票的规定。</w:t>
      </w:r>
    </w:p>
    <w:p>
      <w:pPr>
        <w:spacing w:after="156" w:afterLines="50" w:line="360" w:lineRule="auto"/>
        <w:ind w:firstLine="482" w:firstLineChars="200"/>
        <w:outlineLvl w:val="0"/>
        <w:rPr>
          <w:rFonts w:cs="宋体" w:asciiTheme="majorEastAsia" w:hAnsiTheme="majorEastAsia" w:eastAsiaTheme="majorEastAsia"/>
          <w:b/>
          <w:bCs/>
        </w:rPr>
      </w:pPr>
      <w:bookmarkStart w:id="5" w:name="_Toc11148"/>
      <w:r>
        <w:rPr>
          <w:rFonts w:hint="eastAsia" w:cs="宋体" w:asciiTheme="majorEastAsia" w:hAnsiTheme="majorEastAsia" w:eastAsiaTheme="majorEastAsia"/>
          <w:b/>
          <w:bCs/>
        </w:rPr>
        <w:t>第五章涉外票据的法律适用</w:t>
      </w:r>
      <w:bookmarkEnd w:id="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第九十四条 涉外票据的法律适用，依照本章的规定确定。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前款所称涉外票据，是指出票、背书、承兑、保证、付款等行为中，既有发生在中华人民共和国境内又有发生在中华人民共和国境外的票据。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第九十五条 中华人民共和国缔结或者参加的国际条约同本法有不同规定的，适用国际条约的规定。但是，中华人民共和国声明保留的条款除外。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本法和中华人民共和国缔结或者参加的国际条约没有规定的，可以适用国际惯例。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第九十六条 票据债务人的民事行为能力，适用其本国法律。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票据债务人的民事行为能力，依照其本国法律为无民事行为能力或者为限制民事行为能力而依照行为地法律为完全民事行为能力的，适用行为地法律。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第九十七条 汇票、本票出票时的记载事项，适用出票地法律。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支票出票时的记载事项，适用出票地法律，经当事人协议，也可以适用付款地法律。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第九十八条 票据的背书、承兑、付款和保证行为，适用行为地法律。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第九十九条 票据追索权的行使期限，适用出票地法律。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第一百条 票据的提示期限、有关拒绝证明的方式、出具拒绝证明的期限，适用付款地法律。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第一百零一条 票据丧失时，失票人请求保全票据权利的程序，适用付款地法律。</w:t>
      </w:r>
    </w:p>
    <w:p>
      <w:pPr>
        <w:spacing w:after="156" w:afterLines="50" w:line="360" w:lineRule="auto"/>
        <w:ind w:firstLine="482" w:firstLineChars="200"/>
        <w:outlineLvl w:val="0"/>
        <w:rPr>
          <w:rFonts w:cs="宋体" w:asciiTheme="majorEastAsia" w:hAnsiTheme="majorEastAsia" w:eastAsiaTheme="majorEastAsia"/>
          <w:b/>
          <w:bCs/>
        </w:rPr>
      </w:pPr>
      <w:bookmarkStart w:id="6" w:name="_Toc20589"/>
      <w:r>
        <w:rPr>
          <w:rFonts w:hint="eastAsia" w:cs="宋体" w:asciiTheme="majorEastAsia" w:hAnsiTheme="majorEastAsia" w:eastAsiaTheme="majorEastAsia"/>
          <w:b/>
          <w:bCs/>
        </w:rPr>
        <w:t>第六章法律责任</w:t>
      </w:r>
      <w:bookmarkEnd w:id="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第一百零二条 有下列票据欺诈行为之一的，依法追究刑事责任：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（一）伪造、变造票据的；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（二）故意使用伪造、变造的票据的；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（三）签发空头支票或者故意签发与其预留的本名签名式样或者印鉴不符的支票，骗取财物的；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（四）签发无可靠资金来源的汇票、本票，骗取资金的；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（五）汇票、本票的出票人在出票时作虚假记载，骗取财物的；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（六）冒用他人的票据，或者故意使用过期或者作废的票据，骗取财物的；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（七）付款人同出票人、持票人恶意串通，实施前六项所列行为之一的。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第一百零三条 有前条所列行为之一，情节轻微，不构成犯罪的，依照国家有关规定给予行政处罚。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第一百零四条 金融机构工作人员在票据业务中玩忽职守，对违反本法规定的票据予以承兑、付款或者保证的，给予处分；造成重大损失，构成犯罪的，依法追究刑事责任。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由于金融机构工作人员因前款行为给当事人造成损失的，由该金融机构和直接责任人员依法承担赔偿责任。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第一百零五条 票据的付款人对见票即付或者到期的票据，故意压票，拖延支付的，由金融行政管理部门处以罚款，对直接责任人员给予处分。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票据的付款人故意压票，拖延支付，给持票人造成损失的，依法承担赔偿责任。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第一百零六条 依照本法规定承担赔偿责任以外的其他违反本法规定的行为，给他人造成损失的，应当依法承担民事责任。</w:t>
      </w:r>
    </w:p>
    <w:p>
      <w:pPr>
        <w:spacing w:after="156" w:afterLines="50" w:line="360" w:lineRule="auto"/>
        <w:ind w:firstLine="482" w:firstLineChars="200"/>
        <w:outlineLvl w:val="0"/>
        <w:rPr>
          <w:rFonts w:cs="宋体" w:asciiTheme="majorEastAsia" w:hAnsiTheme="majorEastAsia" w:eastAsiaTheme="majorEastAsia"/>
          <w:b/>
          <w:bCs/>
        </w:rPr>
      </w:pPr>
      <w:bookmarkStart w:id="7" w:name="_Toc25071"/>
      <w:r>
        <w:rPr>
          <w:rFonts w:hint="eastAsia" w:cs="宋体" w:asciiTheme="majorEastAsia" w:hAnsiTheme="majorEastAsia" w:eastAsiaTheme="majorEastAsia"/>
          <w:b/>
          <w:bCs/>
        </w:rPr>
        <w:t>第七章附则</w:t>
      </w:r>
      <w:bookmarkEnd w:id="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第一百零七条 本法规定的各项期限的计算，适用民法通则关于计算期间的规定。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按月计算期限的，按到期月的对日计算；无对日的，月末日为到期日。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第一百零八条 汇票、本票、支票的格式应当统一。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票据凭证的格式和印制管理办法，由中国人民银行规定。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第一百零九条 票据管理的具体实施办法，由中国人民银行依照本法制定，报国务院批准后施行。</w:t>
      </w:r>
    </w:p>
    <w:p>
      <w:pPr>
        <w:spacing w:after="156" w:afterLines="50" w:line="360" w:lineRule="auto"/>
        <w:ind w:firstLine="480" w:firstLineChars="200"/>
        <w:rPr>
          <w:rFonts w:cs="宋体" w:asciiTheme="majorEastAsia" w:hAnsiTheme="majorEastAsia" w:eastAsiaTheme="majorEastAsia"/>
        </w:rPr>
        <w:sectPr>
          <w:footerReference r:id="rId3" w:type="default"/>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第一百一十条 本法自1996年1月1日起施行。</w:t>
      </w:r>
      <w:r>
        <w:rPr>
          <w:rFonts w:hint="eastAsia" w:cs="宋体" w:asciiTheme="majorEastAsia" w:hAnsiTheme="majorEastAsia" w:eastAsiaTheme="majorEastAsia"/>
        </w:rPr>
        <w:tab/>
      </w:r>
    </w:p>
    <w:p>
      <w:pPr>
        <w:pStyle w:val="2"/>
        <w:numPr>
          <w:ilvl w:val="0"/>
          <w:numId w:val="0"/>
        </w:numPr>
        <w:ind w:left="922" w:leftChars="0" w:hanging="440" w:firstLineChars="0"/>
      </w:pPr>
      <w:bookmarkStart w:id="8" w:name="_Toc25000"/>
      <w:r>
        <w:rPr>
          <w:rFonts w:cs="宋体" w:asciiTheme="majorEastAsia" w:hAnsiTheme="majorEastAsia" w:eastAsiaTheme="majorEastAsia"/>
          <w:b/>
          <w:bCs/>
          <w:sz w:val="24"/>
          <w:szCs w:val="24"/>
          <w:lang w:val="en-US" w:eastAsia="zh-CN" w:bidi="ar-SA"/>
        </w:rPr>
        <w:t>2.</w:t>
      </w:r>
      <w:r>
        <w:rPr>
          <w:rFonts w:hint="eastAsia"/>
        </w:rPr>
        <w:t>《中华人民共和国中小企业促进法(2017修订)》</w:t>
      </w:r>
      <w:bookmarkEnd w:id="8"/>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发文机构：全国人大常委会文号：中华人民共和国主席令第74号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（2002年6月29日第九届全国人民代表大会常务委员会第二十八次会议通过2017年9月1日第十二届全国人民代表大会常务委员会第二十九次会议修订）</w:t>
      </w:r>
    </w:p>
    <w:p>
      <w:pPr>
        <w:spacing w:after="156" w:afterLines="50" w:line="360" w:lineRule="auto"/>
        <w:ind w:firstLine="482" w:firstLineChars="200"/>
        <w:outlineLvl w:val="0"/>
        <w:rPr>
          <w:rFonts w:cs="宋体" w:asciiTheme="majorEastAsia" w:hAnsiTheme="majorEastAsia" w:eastAsiaTheme="majorEastAsia"/>
          <w:b/>
          <w:bCs/>
        </w:rPr>
      </w:pPr>
      <w:bookmarkStart w:id="9" w:name="_Toc26542"/>
      <w:r>
        <w:rPr>
          <w:rFonts w:hint="eastAsia" w:cs="宋体" w:asciiTheme="majorEastAsia" w:hAnsiTheme="majorEastAsia" w:eastAsiaTheme="majorEastAsia"/>
          <w:b/>
          <w:bCs/>
        </w:rPr>
        <w:t>第一章总则</w:t>
      </w:r>
      <w:bookmarkEnd w:id="9"/>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了改善中小企业经营环境，保障中小企业公平参与市场竞争，维护中小企业合法权益，支持中小企业创业创新，促进中小企业健康发展，扩大城乡就业，发挥中小企业在国民经济和社会发展中的重要作用，制定本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本法所称中小企业，是指在中华人民共和国境内依法设立的，人员规模、经营规模相对较小的企业，包括中型企业、小型企业和微型企业。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中型企业、小型企业和微型企业划分标准由国务院负责中小企业促进工作综合管理的部门会同国务院有关部门，根据企业从业人员、营业收入、资产总额等指标，结合行业特点制定，报国务院批准。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国家将促进中小企业发展作为长期发展战略，坚持各类企业权利平等、机会平等、规则平等，对中小企业特别是其中的小型微型企业实行积极扶持、加强引导、完善服务、依法规范、保障权益的方针，为中小企业创立和发展创造有利的环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中小企业应当依法经营，遵守国家劳动用工、安全生产、职业卫生、社会保障、资源环境、质量标准、知识产权、财政税收等方面的法律、法规，遵循诚信原则，规范内部管理，提高经营管理水平；不得损害劳动者合法权益，不得损害社会公共利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国务院制定促进中小企业发展政策，建立中小企业促进工作协调机制，统筹全国中小企业促进工作。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国务院负责中小企业促进工作综合管理的部门组织实施促进中小企业发展政策，对中小企业促进工作进行宏观指导、综合协调和监督检查。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国务院有关部门根据国家促进中小企业发展政策，在各自职责范围内负责中小企业促进工作。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县级以上地方各级人民政府根据实际情况建立中小企业促进工作协调机制，明确相应的负责中小企业促进工作综合管理的部门，负责本行政区域内的中小企业促进工作。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国家建立中小企业统计监测制度。统计部门应当加强对中小企业的统计调查和监测分析，定期发布有关信息。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国家推进中小企业信用制度建设，建立社会化的信用信息征集与评价体系，实现中小企业信用信息查询、交流和共享的社会化。</w:t>
      </w:r>
    </w:p>
    <w:p>
      <w:pPr>
        <w:spacing w:after="156" w:afterLines="50" w:line="360" w:lineRule="auto"/>
        <w:ind w:firstLine="482" w:firstLineChars="200"/>
        <w:outlineLvl w:val="0"/>
        <w:rPr>
          <w:rFonts w:cs="宋体" w:asciiTheme="majorEastAsia" w:hAnsiTheme="majorEastAsia" w:eastAsiaTheme="majorEastAsia"/>
          <w:b/>
          <w:bCs/>
        </w:rPr>
      </w:pPr>
      <w:bookmarkStart w:id="10" w:name="_Toc8251"/>
      <w:r>
        <w:rPr>
          <w:rFonts w:hint="eastAsia" w:cs="宋体" w:asciiTheme="majorEastAsia" w:hAnsiTheme="majorEastAsia" w:eastAsiaTheme="majorEastAsia"/>
          <w:b/>
          <w:bCs/>
        </w:rPr>
        <w:t>第二章财税支持</w:t>
      </w:r>
      <w:bookmarkEnd w:id="1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中央财政应当在本级预算中设立中小企业科目，安排中小企业发展专项资金。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县级以上地方各级人民政府应当根据实际情况，在本级财政预算中安排中小企业发展专项资金。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中小企业发展专项资金通过资助、购买服务、奖励等方式，重点用于支持中小企业公共服务体系和融资服务体系建设。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中小企业发展专项资金向小型微型企业倾斜，资金管理使用坚持公开、透明的原则，实行预算绩效管理。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国家设立中小企业发展基金。国家中小企业发展基金应当遵循政策性导向和市场化运作原则，主要用于引导和带动社会资金支持初创期中小企业，促进创业创新。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县级以上地方各级人民政府可以设立中小企业发展基金。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中小企业发展基金的设立和使用管理办法由国务院规定。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国家实行有利于小型微型企业发展的税收政策，对符合条件的小型微型企业按照规定实行缓征、减征、免征企业所得税、增值税等措施，简化税收征管程序，减轻小型微型企业税收负担。</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国家对小型微型企业行政事业性收费实行减免等优惠政策，减轻小型微型企业负担。</w:t>
      </w:r>
    </w:p>
    <w:p>
      <w:pPr>
        <w:spacing w:after="156" w:afterLines="50" w:line="360" w:lineRule="auto"/>
        <w:ind w:firstLine="482" w:firstLineChars="200"/>
        <w:outlineLvl w:val="0"/>
        <w:rPr>
          <w:rFonts w:cs="宋体" w:asciiTheme="majorEastAsia" w:hAnsiTheme="majorEastAsia" w:eastAsiaTheme="majorEastAsia"/>
          <w:b/>
          <w:bCs/>
        </w:rPr>
      </w:pPr>
      <w:bookmarkStart w:id="11" w:name="_Toc18474"/>
      <w:r>
        <w:rPr>
          <w:rFonts w:hint="eastAsia" w:cs="宋体" w:asciiTheme="majorEastAsia" w:hAnsiTheme="majorEastAsia" w:eastAsiaTheme="majorEastAsia"/>
          <w:b/>
          <w:bCs/>
        </w:rPr>
        <w:t>第三章融资促进</w:t>
      </w:r>
      <w:bookmarkEnd w:id="11"/>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金融机构应当发挥服务实体经济的功能，高效、公平地服务中小企业。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中国人民银行应当综合运用货币政策工具，鼓励和引导金融机构加大对小型微型企业的信贷支持，改善小型微型企业融资环境。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国务院银行业监督管理机构对金融机构开展小型微型企业金融服务应当制定差异化监管政策，采取合理提高小型微型企业不良贷款容忍度等措施，引导金融机构增加小型微型企业融资规模和比重，提高金融服务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国家鼓励各类金融机构开发和提供适合中小企业特点的金融产品和服务。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国家政策性金融机构应当在其业务经营范围内，采取多种形式，为中小企业提供金融服务。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国家推进和支持普惠金融体系建设，推动中小银行、非存款类放贷机构和互联网金融有序健康发展，引导银行业金融机构向县域和乡镇等小型微型企业金融服务薄弱地区延伸网点和业务。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国有大型商业银行应当设立普惠金融机构，为小型微型企业提供金融服务。国家推动其他银行业金融机构设立小型微型企业金融服务专营机构。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地区性中小银行应当积极为其所在地的小型微型企业提供金融服务，促进实体经济发展。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国家健全多层次资本市场体系，多渠道推动股权融资，发展并规范债券市场，促进中小企业利用多种方式直接融资。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国家完善担保融资制度，支持金融机构为中小企业提供以应收账款、知识产权、存货、机器设备等为担保品的担保融资。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中小企业以应收账款申请担保融资时，其应收账款的付款方，应当及时确认债权债务关系，支持中小企业融资。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国家鼓励中小企业及付款方通过应收账款融资服务平台确认债权债务关系，提高融资效率，降低融资成本。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县级以上人民政府应当建立中小企业政策性信用担保体系，鼓励各类担保机构为中小企业融资提供信用担保。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国家推动保险机构开展中小企业贷款保证保险和信用保险业务，开发适应中小企业分散风险、补偿损失需求的保险产品。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 国家支持征信机构发展针对中小企业融资的征信产品和服务，依法向政府有关部门、公用事业单位和商业机构采集信息。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国家鼓励第三方评级机构开展中小企业评级服务。</w:t>
      </w:r>
    </w:p>
    <w:p>
      <w:pPr>
        <w:spacing w:after="156" w:afterLines="50" w:line="360" w:lineRule="auto"/>
        <w:ind w:firstLine="482" w:firstLineChars="200"/>
        <w:outlineLvl w:val="0"/>
        <w:rPr>
          <w:rFonts w:cs="宋体" w:asciiTheme="majorEastAsia" w:hAnsiTheme="majorEastAsia" w:eastAsiaTheme="majorEastAsia"/>
          <w:b/>
          <w:bCs/>
        </w:rPr>
      </w:pPr>
      <w:bookmarkStart w:id="12" w:name="_Toc1863"/>
      <w:r>
        <w:rPr>
          <w:rFonts w:hint="eastAsia" w:cs="宋体" w:asciiTheme="majorEastAsia" w:hAnsiTheme="majorEastAsia" w:eastAsiaTheme="majorEastAsia"/>
          <w:b/>
          <w:bCs/>
        </w:rPr>
        <w:t>第四章创业扶持</w:t>
      </w:r>
      <w:bookmarkEnd w:id="1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 县级以上人民政府及其有关部门应当通过政府网站、宣传资料等形式，为创业人员免费提供工商、财税、金融、环境保护、安全生产、劳动用工、社会保障等方面的法律政策咨询和公共信息服务。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 高等学校毕业生、退役军人和失业人员、残疾人员等创办小型微型企业，按照国家规定享受税收优惠和收费减免。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 国家采取措施支持社会资金参与投资中小企业。创业投资企业和个人投资者投资初创期科技创新企业的，按照国家规定享受税收优惠。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 国家改善企业创业环境，优化审批流程，实现中小企业行政许可便捷，降低中小企业设立成本。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 国家鼓励建设和创办小型微型企业创业基地、孵化基地，为小型微型企业提供生产经营场地和服务。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 地方各级人民政府应当根据中小企业发展的需要，在城乡规划中安排必要的用地和设施，为中小企业获得生产经营场所提供便利。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国家支持利用闲置的商业用房、工业厂房、企业库房和物流设施等，为创业者提供低成本生产经营场所。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第三十条 国家鼓励互联网平台向中小企业开放技术、开发、营销、推广等资源，加强资源共享与合作，为中小企业创业提供服务。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第三十一条 国家简化中小企业注销登记程序，实现中小企业市场退出便利化。</w:t>
      </w:r>
    </w:p>
    <w:p>
      <w:pPr>
        <w:spacing w:after="156" w:afterLines="50" w:line="360" w:lineRule="auto"/>
        <w:ind w:firstLine="482" w:firstLineChars="200"/>
        <w:outlineLvl w:val="0"/>
        <w:rPr>
          <w:rFonts w:cs="宋体" w:asciiTheme="majorEastAsia" w:hAnsiTheme="majorEastAsia" w:eastAsiaTheme="majorEastAsia"/>
          <w:b/>
          <w:bCs/>
        </w:rPr>
      </w:pPr>
      <w:bookmarkStart w:id="13" w:name="_Toc25122"/>
      <w:r>
        <w:rPr>
          <w:rFonts w:hint="eastAsia" w:cs="宋体" w:asciiTheme="majorEastAsia" w:hAnsiTheme="majorEastAsia" w:eastAsiaTheme="majorEastAsia"/>
          <w:b/>
          <w:bCs/>
        </w:rPr>
        <w:t>第五章创新支持</w:t>
      </w:r>
      <w:bookmarkEnd w:id="1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第三十二条 国家鼓励中小企业按照市场需求，推进技术、产品、管理模式、商业模式等创新。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中小企业的固定资产由于技术进步等原因，确需加速折旧的，可以依法缩短折旧年限或者采取加速折旧方法。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国家完善中小企业研究开发费用加计扣除政策，支持中小企业技术创新。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第三十三条 国家支持中小企业在研发设计、生产制造、运营管理等环节应用互联网、云计算、大数据、人工智能等现代技术手段，创新生产方式，提高生产经营效率。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第三十四条 国家鼓励中小企业参与产业关键共性技术研究开发和利用财政资金设立的科研项目实施。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国家推动军民融合深度发展，支持中小企业参与国防科研和生产活动。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国家支持中小企业及中小企业的有关行业组织参与标准的制定。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第三十五条 国家鼓励中小企业研究开发拥有自主知识产权的技术和产品，规范内部知识产权管理，提升保护和运用知识产权的能力；鼓励中小企业投保知识产权保险；减轻中小企业申请和维持知识产权的费用等负担。</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第三十六条 县级以上人民政府有关部门应当在规划、用地、财政等方面提供支持，推动建立和发展各类创新服务机构。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国家鼓励各类创新服务机构为中小企业提供技术信息、研发设计与应用、质量标准、实验试验、检验检测、技术转让、技术培训等服务，促进科技成果转化,推动企业技术、产品升级。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第三十七条 县级以上人民政府有关部门应当拓宽渠道，采取补贴、培训等措施，引导高等学校毕业生到中小企业就业，帮助中小企业引进创新人才。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国家鼓励科研机构、高等学校和大型企业等创造条件向中小企业开放试验设施，开展技术研发与合作，帮助中小企业开发新产品，培养专业人才。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国家鼓励科研机构、高等学校支持本单位的科技人员以兼职、挂职、参与项目合作等形式到中小企业从事产学研合作和科技成果转化活动，并按照国家有关规定取得相应报酬。</w:t>
      </w:r>
    </w:p>
    <w:p>
      <w:pPr>
        <w:spacing w:after="156" w:afterLines="50" w:line="360" w:lineRule="auto"/>
        <w:ind w:firstLine="482" w:firstLineChars="200"/>
        <w:outlineLvl w:val="0"/>
        <w:rPr>
          <w:rFonts w:cs="宋体" w:asciiTheme="majorEastAsia" w:hAnsiTheme="majorEastAsia" w:eastAsiaTheme="majorEastAsia"/>
          <w:b/>
          <w:bCs/>
        </w:rPr>
      </w:pPr>
      <w:bookmarkStart w:id="14" w:name="_Toc4654"/>
      <w:r>
        <w:rPr>
          <w:rFonts w:hint="eastAsia" w:cs="宋体" w:asciiTheme="majorEastAsia" w:hAnsiTheme="majorEastAsia" w:eastAsiaTheme="majorEastAsia"/>
          <w:b/>
          <w:bCs/>
        </w:rPr>
        <w:t>第六章市场开拓</w:t>
      </w:r>
      <w:bookmarkEnd w:id="1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第三十八条 国家完善市场体系，实行统一的市场准入和市场监管制度，反对垄断和不正当竞争，营造中小企业公平参与竞争的市场环境。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第三十九条 国家支持大型企业与中小企业建立以市场配置资源为基础的、稳定的原材料供应、生产、销售、服务外包、技术开发和技术改造等方面的协作关系，带动和促进中小企业发展。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第四十条 国务院有关部门应当制定中小企业政府采购的相关优惠政策，通过制定采购需求标准、预留采购份额、价格评审优惠、优先采购等措施，提高中小企业在政府采购中的份额。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向中小企业预留的采购份额应当占本部门年度政府采购项目预算总额的百分之三十以上；其中，预留给小型微型企业的比例不低于百分之六十。中小企业无法提供的商品和服务除外。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政府采购不得在企业股权结构、经营年限、经营规模和财务指标等方面对中小企业实行差别待遇或者歧视待遇。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政府采购部门应当在政府采购监督管理部门指定的媒体上及时向社会公开发布采购信息，为中小企业获得政府采购合同提供指导和服务。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第四十一条 县级以上人民政府有关部门应当在法律咨询、知识产权保护、技术性贸易措施、产品认证等方面为中小企业产品和服务出口提供指导和帮助，推动对外经济技术合作与交流。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国家有关政策性金融机构应当通过开展进出口信贷、出口信用保险等业务，支持中小企业开拓境外市场。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第四十二条 县级以上人民政府有关部门应当为中小企业提供用汇、人员出入境等方面的便利，支持中小企业到境外投资，开拓国际市场。</w:t>
      </w:r>
    </w:p>
    <w:p>
      <w:pPr>
        <w:spacing w:after="156" w:afterLines="50" w:line="360" w:lineRule="auto"/>
        <w:ind w:firstLine="482" w:firstLineChars="200"/>
        <w:outlineLvl w:val="0"/>
        <w:rPr>
          <w:rFonts w:cs="宋体" w:asciiTheme="majorEastAsia" w:hAnsiTheme="majorEastAsia" w:eastAsiaTheme="majorEastAsia"/>
          <w:b/>
          <w:bCs/>
        </w:rPr>
      </w:pPr>
      <w:bookmarkStart w:id="15" w:name="_Toc25759"/>
      <w:r>
        <w:rPr>
          <w:rFonts w:hint="eastAsia" w:cs="宋体" w:asciiTheme="majorEastAsia" w:hAnsiTheme="majorEastAsia" w:eastAsiaTheme="majorEastAsia"/>
          <w:b/>
          <w:bCs/>
        </w:rPr>
        <w:t>第七章服务措施</w:t>
      </w:r>
      <w:bookmarkEnd w:id="1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第四十三条 国家建立健全社会化的中小企业公共服务体系，为中小企业提供服务。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第四十四条 县级以上地方各级人民政府应当根据实际需要建立和完善中小企业公共服务机构，为中小企业提供公益性服务。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第四十五条 县级以上人民政府负责中小企业促进工作综合管理的部门应当建立跨部门的政策信息互联网发布平台，及时汇集涉及中小企业的法律法规、创业、创新、金融、市场、权益保护等各类政府服务信息，为中小企业提供便捷无偿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第四十六条 国家鼓励各类服务机构为中小企业提供创业培训与辅导、知识产权保护、管理咨询、信息咨询、信用服务、市场营销、项目开发、投资融资、财会税务、产权交易、技术支持、人才引进、对外合作、展览展销、法律咨询等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第四十七条 县级以上人民政府负责中小企业促进工作综合管理的部门应当安排资金，有计划地组织实施中小企业经营管理人员培训。</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第四十八条 国家支持有关机构、高等学校开展针对中小企业经营管理及生产技术等方面的人员培训，提高企业营销、管理和技术水平。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国家支持高等学校、职业教育院校和各类职业技能培训机构与中小企业合作共建实习实践基地，支持职业教育院校教师和中小企业技术人才双向交流，创新中小企业人才培养模式。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第四十九条 中小企业的有关行业组织应当依法维护会员的合法权益，反映会员诉求，加强自律管理，为中小企业创业创新、开拓市场等提供服务。</w:t>
      </w:r>
    </w:p>
    <w:p>
      <w:pPr>
        <w:spacing w:after="156" w:afterLines="50" w:line="360" w:lineRule="auto"/>
        <w:ind w:firstLine="482" w:firstLineChars="200"/>
        <w:outlineLvl w:val="0"/>
        <w:rPr>
          <w:rFonts w:cs="宋体" w:asciiTheme="majorEastAsia" w:hAnsiTheme="majorEastAsia" w:eastAsiaTheme="majorEastAsia"/>
          <w:b/>
          <w:bCs/>
        </w:rPr>
      </w:pPr>
      <w:bookmarkStart w:id="16" w:name="_Toc6205"/>
      <w:r>
        <w:rPr>
          <w:rFonts w:hint="eastAsia" w:cs="宋体" w:asciiTheme="majorEastAsia" w:hAnsiTheme="majorEastAsia" w:eastAsiaTheme="majorEastAsia"/>
          <w:b/>
          <w:bCs/>
        </w:rPr>
        <w:t>第八章权益保护</w:t>
      </w:r>
      <w:bookmarkEnd w:id="1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第五十条 国家保护中小企业及其出资人的财产权和其他合法权益。任何单位和个人不得侵犯中小企业财产及其合法收益。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第五十一条 县级以上人民政府负责中小企业促进工作综合管理的部门应当建立专门渠道，听取中小企业对政府相关管理工作的意见和建议，并及时向有关部门反馈，督促改进。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县级以上地方各级人民政府有关部门和有关行业组织应当公布联系方式，受理中小企业的投诉、举报，并在规定的时间内予以调查、处理。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第五十二条 地方各级人民政府应当依法实施行政许可，依法开展管理工作，不得实施没有法律、法规依据的检查，不得强制或者变相强制中小企业参加考核、评比、表彰、培训等活动。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第五十三条 国家机关、事业单位和大型企业不得违约拖欠中小企业的货物、工程、服务款项。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中小企业有权要求拖欠方支付拖欠款并要求对拖欠造成的损失进行赔偿。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第五十四条 任何单位不得违反法律、法规向中小企业收取费用，不得实施没有法律、法规依据的罚款，不得向中小企业摊派财物。中小企业对违反上述规定的行为有权拒绝和举报、控告。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第五十五条 国家建立和实施涉企行政事业性收费目录清单制度，收费目录清单及其实施情况向社会公开，接受社会监督。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任何单位不得对中小企业执行目录清单之外的行政事业性收费，不得对中小企业擅自提高收费标准、扩大收费范围；严禁以各种方式强制中小企业赞助捐赠、订购报刊、加入社团、接受指定服务；严禁行业组织依靠代行政府职能或者利用行政资源擅自设立收费项目、提高收费标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第五十六条 县级以上地方各级人民政府有关部门对中小企业实施监督检查应当依法进行，建立随机抽查机制。同一部门对中小企业实施的多项监督检查能够合并进行的，应当合并进行；不同部门对中小企业实施的多项监督检查能够合并完成的，由本级人民政府组织有关部门实施合并或者联合检查。</w:t>
      </w:r>
    </w:p>
    <w:p>
      <w:pPr>
        <w:spacing w:after="156" w:afterLines="50" w:line="360" w:lineRule="auto"/>
        <w:ind w:firstLine="482" w:firstLineChars="200"/>
        <w:outlineLvl w:val="0"/>
        <w:rPr>
          <w:rFonts w:cs="宋体" w:asciiTheme="majorEastAsia" w:hAnsiTheme="majorEastAsia" w:eastAsiaTheme="majorEastAsia"/>
          <w:b/>
          <w:bCs/>
        </w:rPr>
      </w:pPr>
      <w:bookmarkStart w:id="17" w:name="_Toc17536"/>
      <w:r>
        <w:rPr>
          <w:rFonts w:hint="eastAsia" w:cs="宋体" w:asciiTheme="majorEastAsia" w:hAnsiTheme="majorEastAsia" w:eastAsiaTheme="majorEastAsia"/>
          <w:b/>
          <w:bCs/>
        </w:rPr>
        <w:t>第九章监督检查</w:t>
      </w:r>
      <w:bookmarkEnd w:id="1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第五十七条 县级以上人民政府定期组织对中小企业促进工作情况的监督检查；对违反本法的行为及时予以纠正，并对直接负责的主管人员和其他直接责任人员依法给予处分。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第五十八条 国务院负责中小企业促进工作综合管理的部门应当委托第三方机构定期开展中小企业发展环境评估，并向社会公布。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地方各级人民政府可以根据实际情况委托第三方机构开展中小企业发展环境评估。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第五十九条 县级以上人民政府应当定期组织开展对中小企业发展专项资金、中小企业发展基金使用效果的企业评价、社会评价和资金使用动态评估，并将评价和评估情况及时向社会公布，接受社会监督。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县级以上人民政府有关部门在各自职责范围内，对中小企业发展专项资金、中小企业发展基金的管理和使用情况进行监督，对截留、挤占、挪用、侵占、贪污中小企业发展专项资金、中小企业发展基金等行为依法进行查处，并对直接负责的主管人员和其他直接责任人员依法给予处分；构成犯罪的，依法追究刑事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第六十条 县级以上地方各级人民政府有关部门在各自职责范围内，对强制或者变相强制中小企业参加考核、评比、表彰、培训等活动的行为，违法向中小企业收费、罚款、摊派财物的行为，以及其他侵犯中小企业合法权益的行为进行查处，并对直接负责的主管人员和其他直接责任人员依法给予处分。</w:t>
      </w:r>
    </w:p>
    <w:p>
      <w:pPr>
        <w:spacing w:after="156" w:afterLines="50" w:line="360" w:lineRule="auto"/>
        <w:ind w:firstLine="482" w:firstLineChars="200"/>
        <w:outlineLvl w:val="0"/>
        <w:rPr>
          <w:rFonts w:cs="宋体" w:asciiTheme="majorEastAsia" w:hAnsiTheme="majorEastAsia" w:eastAsiaTheme="majorEastAsia"/>
          <w:b/>
          <w:bCs/>
        </w:rPr>
      </w:pPr>
      <w:bookmarkStart w:id="18" w:name="_Toc21137"/>
      <w:r>
        <w:rPr>
          <w:rFonts w:hint="eastAsia" w:cs="宋体" w:asciiTheme="majorEastAsia" w:hAnsiTheme="majorEastAsia" w:eastAsiaTheme="majorEastAsia"/>
          <w:b/>
          <w:bCs/>
        </w:rPr>
        <w:t>第十章附则</w:t>
      </w:r>
      <w:bookmarkEnd w:id="18"/>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第六十一条 本法自2018年1月1日起施行。</w:t>
      </w:r>
    </w:p>
    <w:p>
      <w:pPr>
        <w:pStyle w:val="2"/>
        <w:numPr>
          <w:ilvl w:val="0"/>
          <w:numId w:val="0"/>
        </w:numPr>
        <w:ind w:left="922" w:leftChars="0" w:hanging="440" w:firstLineChars="0"/>
      </w:pPr>
      <w:bookmarkStart w:id="19" w:name="_Toc30525"/>
      <w:r>
        <w:rPr>
          <w:rFonts w:cs="宋体" w:asciiTheme="majorEastAsia" w:hAnsiTheme="majorEastAsia" w:eastAsiaTheme="majorEastAsia"/>
          <w:b/>
          <w:bCs/>
          <w:sz w:val="24"/>
          <w:szCs w:val="24"/>
          <w:lang w:val="en-US" w:eastAsia="zh-CN" w:bidi="ar-SA"/>
        </w:rPr>
        <w:t>3.</w:t>
      </w:r>
      <w:r>
        <w:rPr>
          <w:rFonts w:hint="eastAsia"/>
        </w:rPr>
        <w:t>《最高人民法院关于执行担保若干问题的规定（2020修正）》</w:t>
      </w:r>
      <w:bookmarkEnd w:id="19"/>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发文机构：最高人民法院</w:t>
      </w:r>
      <w:r>
        <w:rPr>
          <w:rFonts w:hint="eastAsia" w:cs="宋体" w:asciiTheme="majorEastAsia" w:hAnsiTheme="majorEastAsia" w:eastAsiaTheme="majorEastAsia"/>
        </w:rPr>
        <w:tab/>
      </w:r>
      <w:r>
        <w:rPr>
          <w:rFonts w:hint="eastAsia" w:cs="宋体" w:asciiTheme="majorEastAsia" w:hAnsiTheme="majorEastAsia" w:eastAsiaTheme="majorEastAsia"/>
        </w:rPr>
        <w:t>文号：法释〔2020〕21号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2017年12月11日最高人民法院审判委员会第1729次会议通过，根据2020年12月23日最高人民法院审判委员会第1823次会议通过的《最高人民法院关于修改〈最高人民法院关于人民法院扣押铁路运输货物若干问题的规定〉等十八件执行类司法解释的决定》修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为了进一步规范执行担保，维护当事人、利害关系人的合法权益，根据《中华人民共和国民事诉讼法》等法律规定，结合执行实践，制定本规定。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本规定所称执行担保，是指担保人依照民事诉讼法第二百三十一条规定，为担保被执行人履行生效法律文书确定的全部或者部分义务，向人民法院提供的担保。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执行担保可以由被执行人提供财产担保，也可以由他人提供财产担保或者保证。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被执行人或者他人提供执行担保的，应当向人民法院提交担保书，并将担保书副本送交申请执行人。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担保书中应当载明担保人的基本信息、暂缓执行期限、担保期间、被担保的债权种类及数额、担保范围、担保方式、被执行人于暂缓执行期限届满后仍不履行时担保人自愿接受直接强制执行的承诺等内容。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提供财产担保的，担保书中还应当载明担保财产的名称、数量、质量、状况、所在地、所有权或者使用权归属等内容。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公司为被执行人提供执行担保的，应当提交符合公司法第十六条规定的公司章程、董事会或者股东会、股东大会决议。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被执行人或者他人提供执行担保，申请执行人同意的，应当向人民法院出具书面同意意见，也可以由执行人员将其同意的内容记入笔录，并由申请执行人签名或者盖章。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被执行人或者他人提供财产担保，可以依照民法典规定办理登记等担保物权公示手续；已经办理公示手续的，申请执行人可以依法主张优先受偿权。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申请执行人申请人民法院查封、扣押、冻结担保财产的，人民法院应当准许，但担保书另有约定的除外。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人民法院决定暂缓执行的，可以暂缓全部执行措施的实施，但担保书另有约定的除外。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担保书内容与事实不符，且对申请执行人合法权益产生实质影响的，人民法院可以依申请执行人的申请恢复执行。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暂缓执行的期限应当与担保书约定一致，但最长不得超过一年。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暂缓执行期限届满后被执行人仍不履行义务，或者暂缓执行期间担保人有转移、隐藏、变卖、毁损担保财产等行为的，人民法院可以依申请执行人的申请恢复执行，并直接裁定执行担保财产或者保证人的财产，不得将担保人变更、追加为被执行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执行担保财产或者保证人的财产，以担保人应当履行义务部分的财产为限。被执行人有便于执行的现金、银行存款的，应当优先执行该现金、银行存款。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担保期间自暂缓执行期限届满之日起计算。</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担保书中没有记载担保期间或者记载不明的，担保期间为一年。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担保期间届满后，申请执行人申请执行担保财产或者保证人财产的，人民法院不予支持。他人提供财产担保的，人民法院可以依其申请解除对担保财产的查封、扣押、冻结。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担保人承担担保责任后，提起诉讼向被执行人追偿的，人民法院应予受理。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被执行人申请变更、解除全部或者部分执行措施，并担保履行生效法律文书确定义务的，参照适用本规定。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本规定自2018年3月1日起施行。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本规定施行前成立的执行担保，不适用本规定。</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本规定施行前本院公布的司法解释与本规定不一致的，以本规定为准。</w:t>
      </w:r>
      <w:r>
        <w:rPr>
          <w:rFonts w:hint="eastAsia" w:cs="宋体" w:asciiTheme="majorEastAsia" w:hAnsiTheme="majorEastAsia" w:eastAsiaTheme="majorEastAsia"/>
        </w:rPr>
        <w:tab/>
      </w:r>
    </w:p>
    <w:p>
      <w:pPr>
        <w:pStyle w:val="2"/>
        <w:numPr>
          <w:ilvl w:val="0"/>
          <w:numId w:val="0"/>
        </w:numPr>
        <w:ind w:left="922" w:leftChars="0" w:hanging="440" w:firstLineChars="0"/>
      </w:pPr>
      <w:bookmarkStart w:id="20" w:name="_Toc17997"/>
      <w:r>
        <w:rPr>
          <w:rFonts w:cs="宋体" w:asciiTheme="majorEastAsia" w:hAnsiTheme="majorEastAsia" w:eastAsiaTheme="majorEastAsia"/>
          <w:b/>
          <w:bCs/>
          <w:sz w:val="24"/>
          <w:szCs w:val="24"/>
          <w:lang w:val="en-US" w:eastAsia="zh-CN" w:bidi="ar-SA"/>
        </w:rPr>
        <w:t>4.</w:t>
      </w:r>
      <w:r>
        <w:rPr>
          <w:rFonts w:hint="eastAsia"/>
        </w:rPr>
        <w:t>《最高人民法院关于适用《中华人民共和国民法典》有关担保制度的解释》</w:t>
      </w:r>
      <w:bookmarkEnd w:id="2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发文机构：最高人民法院</w:t>
      </w:r>
      <w:r>
        <w:rPr>
          <w:rFonts w:hint="eastAsia" w:cs="宋体" w:asciiTheme="majorEastAsia" w:hAnsiTheme="majorEastAsia" w:eastAsiaTheme="majorEastAsia"/>
        </w:rPr>
        <w:tab/>
      </w:r>
      <w:r>
        <w:rPr>
          <w:rFonts w:hint="eastAsia" w:cs="宋体" w:asciiTheme="majorEastAsia" w:hAnsiTheme="majorEastAsia" w:eastAsiaTheme="majorEastAsia"/>
        </w:rPr>
        <w:t>文号：法释〔2020〕28号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（2020年12月25日最高人民法院审判委员会第1824次会议通过，自2021年1月1日起施行）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为正确适用《中华人民共和国民法典》有关担保制度的规定，结合民事审判实践，制定本解释。</w:t>
      </w:r>
    </w:p>
    <w:p>
      <w:pPr>
        <w:spacing w:after="156" w:afterLines="50" w:line="360" w:lineRule="auto"/>
        <w:ind w:firstLine="482" w:firstLineChars="200"/>
        <w:rPr>
          <w:rFonts w:cs="宋体" w:asciiTheme="majorEastAsia" w:hAnsiTheme="majorEastAsia" w:eastAsiaTheme="majorEastAsia"/>
          <w:b/>
          <w:bCs/>
        </w:rPr>
      </w:pPr>
      <w:r>
        <w:rPr>
          <w:rFonts w:hint="eastAsia" w:cs="宋体" w:asciiTheme="majorEastAsia" w:hAnsiTheme="majorEastAsia" w:eastAsiaTheme="majorEastAsia"/>
          <w:b/>
          <w:bCs/>
        </w:rPr>
        <w:t>一、关于一般规定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因抵押、质押、留置、保证等担保发生的纠纷，适用本解释。所有权保留买卖、融资租赁、保理等涉及担保功能发生的纠纷，适用本解释的有关规定。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当事人在担保合同中约定担保合同的效力独立于主合同，或者约定担保人对主合同无效的法律后果承担担保责任，该有关担保独立性的约定无效。主合同有效的，有关担保独立性的约定无效不影响担保合同的效力；主合同无效的，人民法院应当认定担保合同无效，但是法律另有规定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因金融机构开立的独立保函发生的纠纷，适用《最高人民法院关于审理独立保函纠纷案件若干问题的规定》。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当事人对担保责任的承担约定专门的违约责任，或者约定的担保责任范围超出债务人应当承担的责任范围，担保人主张仅在债务人应当承担的责任范围内承担责任的，人民法院应予支持。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担保人承担的责任超出债务人应当承担的责任范围，担保人向债务人追偿，债务人主张仅在其应当承担的责任范围内承担责任的，人民法院应予支持；担保人请求债权人返还超出部分的，人民法院依法予以支持。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有下列情形之一，当事人将担保物权登记在他人名下，债务人不履行到期债务或者发生当事人约定的实现担保物权的情形，债权人或者其受托人主张就该财产优先受偿的，人民法院依法予以支持：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（一）为债券持有人提供的担保物权登记在债券受托管理人名下;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（二）为委托贷款人提供的担保物权登记在受托人名下；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（三）担保人知道债权人与他人之间存在委托关系的其他情形。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机关法人提供担保的，人民法院应当认定担保合同无效，但是经国务院批准为使用外国政府或者国际经济组织贷款进行转贷的除外。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居民委员会、村民委员会提供担保的，人民法院应当认定担保合同无效，但是依法代行村集体经济组织职能的村民委员会，依照村民委员会组织法规定的讨论决定程序对外提供担保的除外。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以公益为目的的非营利性学校、幼儿园、医疗机构、养老机构等提供担保的，人民法院应当认定担保合同无效，但是有下列情形之一的除外：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（一）在购入或者以融资租赁方式承租教育设施、医疗卫生设施、养老服务设施和其他公益设施时，出卖人、出租人为担保价款或者租金实现而在该公益设施上保留所有权；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（二）以教育设施、医疗卫生设施、养老服务设施和其他公益设施以外的不动产、动产或者财产权利设立担保物权。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登记为营利法人的学校、幼儿园、医疗机构、养老机构等提供担保，当事人以其不具有担保资格为由主张担保合同无效的，人民法院不予支持。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公司的法定代表人违反公司法关于公司对外担保决议程序的规定，超越权限代表公司与相对人订立担保合同，人民法院应当依照民法典第六十一条和第五百零四条等规定处理：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（一）相对人善意的，担保合同对公司发生效力；相对人请求公司承担担保责任的，人民法院应予支持。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（二）相对人非善意的，担保合同对公司不发生效力；相对人请求公司承担赔偿责任的，参照适用本解释第十七条的有关规定。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法定代表人超越权限提供担保造成公司损失，公司请求法定代表人承担赔偿责任的，人民法院应予支持。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款所称善意，是指相对人在订立担保合同时不知道且不应当知道法定代表人超越权限。相对人有证据证明已对公司决议进行了合理审查，人民法院应当认定其构成善意，但是公司有证据证明相对人知道或者应当知道决议系伪造、变造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有下列情形之一，公司以其未依照公司法关于公司对外担保的规定作出决议为由主张不承担担保责任的，人民法院不予支持：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（一）金融机构开立保函或者担保公司提供担保；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（二）公司为其全资子公司开展经营活动提供担保；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（三）担保合同系由单独或者共同持有公司三分之二以上对担保事项有表决权的股东签字同意。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上市公司对外提供担保，不适用前款第二项、第三项的规定。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相对人根据上市公司公开披露的关于担保事项已经董事会或者股东大会决议通过的信息，与上市公司订立担保合同，相对人主张担保合同对上市公司发生效力，并由上市公司承担担保责任的，人民法院应予支持。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相对人未根据上市公司公开披露的关于担保事项已经董事会或者股东大会决议通过的信息，与上市公司订立担保合同，上市公司主张担保合同对其不发生效力，且不承担担保责任或者赔偿责任的，人民法院应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相对人与上市公司已公开披露的控股子公司订立的担保合同，或者相对人与股票在国务院批准的其他全国性证券交易场所交易的公司订立的担保合同，适用前两款规定。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一人有限责任公司为其股东提供担保，公司以违反公司法关于公司对外担保决议程序的规定为由主张不承担担保责任的，人民法院不予支持。公司因承担担保责任导致无法清偿其他债务，提供担保时的股东不能证明公司财产独立于自己的财产，其他债权人请求该股东承担连带责任的，人民法院应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公司的分支机构未经公司股东（大）会或者董事会决议以自己的名义对外提供担保，相对人请求公司或者其分支机构承担担保责任的，人民法院不予支持，但是相对人不知道且不应当知道分支机构对外提供担保未经公司决议程序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金融机构的分支机构在其营业执照记载的经营范围内开立保函，或者经有权从事担保业务的上级机构授权开立保函，金融机构或者其分支机构以违反公司法关于公司对外担保决议程序的规定为由主张不承担担保责任的，人民法院不予支持。金融机构的分支机构未经金融机构授权提供保函之外的担保，金融机构或者其分支机构主张不承担担保责任的，人民法院应予支持，但是相对人不知道且不应当知道分支机构对外提供担保未经金融机构授权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担保公司的分支机构未经担保公司授权对外提供担保，担保公司或者其分支机构主张不承担担保责任的，人民法院应予支持，但是相对人不知道且不应当知道分支机构对外提供担保未经担保公司授权的除外。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公司的分支机构对外提供担保，相对人非善意，请求公司承担赔偿责任的，参照本解释第十七条的有关规定处理。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法定代表人依照民法典第五百五十二条的规定以公司名义加入债务的，人民法院在认定该行为的效力时，可以参照本解释关于公司为他人提供担保的有关规则处理。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同一债务有两个以上第三人提供担保，担保人之间约定相互追偿及分担份额，承担了担保责任的担保人请求其他担保人按照约定分担份额的，人民法院应予支持；担保人之间约定承担连带共同担保，或者约定相互追偿但是未约定分担份额的，各担保人按照比例分担向债务人不能追偿的部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同一债务有两个以上第三人提供担保，担保人之间未对相互追偿作出约定且未约定承担连带共同担保，但是各担保人在同一份合同书上签字、盖章或者按指印，承担了担保责任的担保人请求其他担保人按照比例分担向债务人不能追偿部分的，人民法院应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除前两款规定的情形外，承担了担保责任的担保人请求其他担保人分担向债务人不能追偿部分的，人民法院不予支持。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同一债务有两个以上第三人提供担保，担保人受让债权的，人民法院应当认定该行为系承担担保责任。受让债权的担保人作为债权人请求其他担保人承担担保责任的，人民法院不予支持；该担保人请求其他担保人分担相应份额的，依照本解释第十三条的规定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最高额担保中的最高债权额，是指包括主债权及其利息、违约金、损害赔偿金、保管担保财产的费用、实现债权或者实现担保物权的费用等在内的全部债权，但是当事人另有约定的除外。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登记的最高债权额与当事人约定的最高债权额不一致的，人民法院应当依据登记的最高债权额确定债权人优先受偿的范围。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主合同当事人协议以新贷偿还旧贷，债权人请求旧贷的担保人承担担保责任的，人民法院不予支持；债权人请求新贷的担保人承担担保责任的，按照下列情形处理：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（一）新贷与旧贷的担保人相同的，人民法院应予支持；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（二）新贷与旧贷的担保人不同，或者旧贷无担保新贷有担保的，人民法院不予支持，但是债权人有证据证明新贷的担保人提供担保时对以新贷偿还旧贷的事实知道或者应当知道的除外。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主合同当事人协议以新贷偿还旧贷，旧贷的物的担保人在登记尚未注销的情形下同意继续为新贷提供担保，在订立新的贷款合同前又以该担保财产为其他债权人设立担保物权，其他债权人主张其担保物权顺位优先于新贷债权人的，人民法院不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主合同有效而第三人提供的担保合同无效，人民法院应当区分不同情形确定担保人的赔偿责任：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（一）债权人与担保人均有过错的，担保人承担的赔偿责任不应超过债务人不能清偿部分的二分之一；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（二）担保人有过错而债权人无过错的，担保人对债务人不能清偿的部分承担赔偿责任；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（三）债权人有过错而担保人无过错的，担保人不承担赔偿责任。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主合同无效导致第三人提供的担保合同无效，担保人无过错的，不承担赔偿责任；担保人有过错的，其承担的赔偿责任不应超过债务人不能清偿部分的三分之一。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承担了担保责任或者赔偿责任的担保人，在其承担责任的范围内向债务人追偿的，人民法院应予支持。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同一债权既有债务人自己提供的物的担保，又有第三人提供的担保，承担了担保责任或者赔偿责任的第三人，主张行使债权人对债务人享有的担保物权的，人民法院应予支持。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担保合同无效，承担了赔偿责任的担保人按照反担保合同的约定，在其承担赔偿责任的范围内请求反担保人承担担保责任的，人民法院应予支持。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反担保合同无效的，依照本解释第十七条的有关规定处理。当事人仅以担保合同无效为由主张反担保合同无效的，人民法院不予支持。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人民法院在审理第三人提供的物的担保纠纷案件时，可以适用民法典第六百九十五条第一款、第六百九十六条第一款、第六百九十七条第二款、第六百九十九条、第七百条、第七百零一条、第七百零二条等关于保证合同的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主合同或者担保合同约定了仲裁条款的，人民法院对约定仲裁条款的合同当事人之间的纠纷无管辖权。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债权人一并起诉债务人和担保人的，应当根据主合同确定管辖法院。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债权人依法可以单独起诉担保人且仅起诉担保人的，应当根据担保合同确定管辖法院。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人民法院受理债务人破产案件后，债权人请求担保人承担担保责任，担保人主张担保债务自人民法院受理破产申请之日起停止计息的，人民法院对担保人的主张应予支持。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 人民法院受理债务人破产案件，债权人在破产程序中申报债权后又向人民法院提起诉讼，请求担保人承担担保责任的，人民法院依法予以支持。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担保人清偿债权人的全部债权后，可以代替债权人在破产程序中受偿；在债权人的债权未获全部清偿前，担保人不得代替债权人在破产程序中受偿，但是有权就债权人通过破产分配和实现担保债权等方式获得清偿总额中超出债权的部分，在其承担担保责任的范围内请求债权人返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债权人在债务人破产程序中未获全部清偿，请求担保人继续承担担保责任的，人民法院应予支持；担保人承担担保责任后，向和解协议或者重整计划执行完毕后的债务人追偿的，人民法院不予支持。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 债权人知道或者应当知道债务人破产，既未申报债权也未通知担保人，致使担保人不能预先行使追偿权的，担保人就该债权在破产程序中可能受偿的范围内免除担保责任，但是担保人因自身过错未行使追偿权的除外。</w:t>
      </w:r>
    </w:p>
    <w:p>
      <w:pPr>
        <w:spacing w:after="156" w:afterLines="50" w:line="360" w:lineRule="auto"/>
        <w:ind w:firstLine="482" w:firstLineChars="200"/>
        <w:rPr>
          <w:rFonts w:cs="宋体" w:asciiTheme="majorEastAsia" w:hAnsiTheme="majorEastAsia" w:eastAsiaTheme="majorEastAsia"/>
          <w:b/>
          <w:bCs/>
        </w:rPr>
      </w:pPr>
      <w:r>
        <w:rPr>
          <w:rFonts w:hint="eastAsia" w:cs="宋体" w:asciiTheme="majorEastAsia" w:hAnsiTheme="majorEastAsia" w:eastAsiaTheme="majorEastAsia"/>
          <w:b/>
          <w:bCs/>
        </w:rPr>
        <w:t>二、关于保证合同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 当事人在保证合同中约定了保证人在债务人不能履行债务或者无力偿还债务时才承担保证责任等类似内容，具有债务人应当先承担责任的意思表示的，人民法院应当将其认定为一般保证。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当事人在保证合同中约定了保证人在债务人不履行债务或者未偿还债务时即承担保证责任、无条件承担保证责任等类似内容，不具有债务人应当先承担责任的意思表示的，人民法院应当将其认定为连带责任保证。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 一般保证中，债权人以债务人为被告提起诉讼的，人民法院应予受理。债权人未就主合同纠纷提起诉讼或者申请仲裁，仅起诉一般保证人的，人民法院应当驳回起诉。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般保证中，债权人一并起诉债务人和保证人的，人民法院可以受理，但是在作出判决时，除有民法典第六百八十七条第二款但书规定的情形外，应当在判决书主文中明确，保证人仅对债务人财产依法强制执行后仍不能履行的部分承担保证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债权人未对债务人的财产申请保全，或者保全的债务人的财产足以清偿债务，债权人申请对一般保证人的财产进行保全的，人民法院不予准许。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 一般保证的债权人取得对债务人赋予强制执行效力的公证债权文书后，在保证期间内向人民法院申请强制执行，保证人以债权人未在保证期间内对债务人提起诉讼或者申请仲裁为由主张不承担保证责任的，人民法院不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 一般保证中，债权人依据生效法律文书对债务人的财产依法申请强制执行，保证债务诉讼时效的起算时间按照下列规则确定：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（一）人民法院作出终结本次执行程序裁定，或者依照民事诉讼法第二百五十七条第三项、第五项的规定作出终结执行裁定的，自裁定送达债权人之日起开始计算；</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（二）人民法院自收到申请执行书之日起一年内未作出前项裁定的，自人民法院收到申请执行书满一年之日起开始计算，但是保证人有证据证明债务人仍有财产可供执行的除外。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一般保证的债权人在保证期间届满前对债务人提起诉讼或者申请仲裁，债权人举证证明存在民法典第六百八十七条第二款但书规定情形的，保证债务的诉讼时效自债权人知道或者应当知道该情形之日起开始计算。</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 同一债务有两个以上保证人，债权人以其已经在保证期间内依法向部分保证人行使权利为由，主张已经在保证期间内向其他保证人行使权利的，人民法院不予支持。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同一债务有两个以上保证人，保证人之间相互有追偿权，债权人未在保证期间内依法向部分保证人行使权利，导致其他保证人在承担保证责任后丧失追偿权，其他保证人主张在其不能追偿的范围内免除保证责任的，人民法院应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第三十条 最高额保证合同对保证期间的计算方式、起算时间等有约定的，按照其约定。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最高额保证合同对保证期间的计算方式、起算时间等没有约定或者约定不明，被担保债权的履行期限均已届满的，保证期间自债权确定之日起开始计算；被担保债权的履行期限尚未届满的，保证期间自最后到期债权的履行期限届满之日起开始计算。</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前款所称债权确定之日，依照民法典第四百二十三条的规定认定。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第三十一条 一般保证的债权人在保证期间内对债务人提起诉讼或者申请仲裁后，又撤回起诉或者仲裁申请，债权人在保证期间届满前未再行提起诉讼或者申请仲裁，保证人主张不再承担保证责任的，人民法院应予支持。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连带责任保证的债权人在保证期间内对保证人提起诉讼或者申请仲裁后，又撤回起诉或者仲裁申请，起诉状副本或者仲裁申请书副本已经送达保证人的，人民法院应当认定债权人已经在保证期间内向保证人行使了权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第三十二条 保证合同约定保证人承担保证责任直至主债务本息还清时为止等类似内容的，视为约定不明，保证期间为主债务履行期限届满之日起六个月。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第三十三条 保证合同无效，债权人未在约定或者法定的保证期间内依法行使权利，保证人主张不承担赔偿责任的，人民法院应予支持。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第三十四条 人民法院在审理保证合同纠纷案件时，应当将保证期间是否届满、债权人是否在保证期间内依法行使权利等事实作为案件基本事实予以查明。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债权人在保证期间内未依法行使权利的，保证责任消灭。保证责任消灭后，债权人书面通知保证人要求承担保证责任，保证人在通知书上签字、盖章或者按指印，债权人请求保证人继续承担保证责任的，人民法院不予支持，但是债权人有证据证明成立了新的保证合同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第三十五条 保证人知道或者应当知道主债权诉讼时效期间届满仍然提供保证或者承担保证责任，又以诉讼时效期间届满为由拒绝承担保证责任或者请求返还财产的，人民法院不予支持；保证人承担保证责任后向债务人追偿的，人民法院不予支持，但是债务人放弃诉讼时效抗辩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第三十六条 第三人向债权人提供差额补足、流动性支持等类似承诺文件作为增信措施，具有提供担保的意思表示，债权人请求第三人承担保证责任的，人民法院应当依照保证的有关规定处理。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第三人向债权人提供的承诺文件，具有加入债务或者与债务人共同承担债务等意思表示的，人民法院应当认定为民法典第五百五十二条规定的债务加入。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前两款中第三人提供的承诺文件难以确定是保证还是债务加入的，人民法院应当将其认定为保证。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第三人向债权人提供的承诺文件不符合前三款规定的情形，债权人请求第三人承担保证责任或者连带责任的，人民法院不予支持，但是不影响其依据承诺文件请求第三人履行约定的义务或者承担相应的民事责任。</w:t>
      </w:r>
    </w:p>
    <w:p>
      <w:pPr>
        <w:spacing w:after="156" w:afterLines="50" w:line="360" w:lineRule="auto"/>
        <w:ind w:firstLine="482" w:firstLineChars="200"/>
        <w:rPr>
          <w:rFonts w:cs="宋体" w:asciiTheme="majorEastAsia" w:hAnsiTheme="majorEastAsia" w:eastAsiaTheme="majorEastAsia"/>
          <w:b/>
          <w:bCs/>
        </w:rPr>
      </w:pPr>
      <w:r>
        <w:rPr>
          <w:rFonts w:hint="eastAsia" w:cs="宋体" w:asciiTheme="majorEastAsia" w:hAnsiTheme="majorEastAsia" w:eastAsiaTheme="majorEastAsia"/>
          <w:b/>
          <w:bCs/>
        </w:rPr>
        <w:t>三、关于担保物权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（一）担保合同与担保物权的效力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第三十七条 当事人以所有权、使用权不明或者有争议的财产抵押，经审查构成无权处分的，人民法院应当依照民法典第三百一十一条的规定处理。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当事人以依法被查封或者扣押的财产抵押，抵押权人请求行使抵押权，经审查查封或者扣押措施已经解除的，人民法院应予支持。抵押人以抵押权设立时财产被查封或者扣押为由主张抵押合同无效的，人民法院不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以依法被监管的财产抵押的，适用前款规定。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第三十八条 主债权未受全部清偿，担保物权人主张就担保财产的全部行使担保物权的，人民法院应予支持,但是留置权人行使留置权的，应当依照民法典第四百五十条的规定处理。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担保财产被分割或者部分转让，担保物权人主张就分割或者转让后的担保财产行使担保物权的，人民法院应予支持，但是法律或者司法解释另有规定的除外。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第三十九条 主债权被分割或者部分转让，各债权人主张就其享有的债权份额行使担保物权的，人民法院应予支持，但是法律另有规定或者当事人另有约定的除外。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主债务被分割或者部分转移，债务人自己提供物的担保，债权人请求以该担保财产担保全部债务履行的，人民法院应予支持；第三人提供物的担保，主张对未经其书面同意转移的债务不再承担担保责任的，人民法院应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第四十条 从物产生于抵押权依法设立前，抵押权人主张抵押权的效力及于从物的，人民法院应予支持，但是当事人另有约定的除外。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从物产生于抵押权依法设立后，抵押权人主张抵押权的效力及于从物的，人民法院不予支持，但是在抵押权实现时可以一并处分。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第四十一条 抵押权依法设立后，抵押财产被添附，添附物归第三人所有，抵押权人主张抵押权效力及于补偿金的，人民法院应予支持。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抵押权依法设立后，抵押财产被添附，抵押人对添附物享有所有权，抵押权人主张抵押权的效力及于添附物的，人民法院应予支持，但是添附导致抵押财产价值增加的，抵押权的效力不及于增加的价值部分。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抵押权依法设立后，抵押人与第三人因添附成为添附物的共有人，抵押权人主张抵押权的效力及于抵押人对共有物享有的份额的，人民法院应予支持。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本条所称添附，包括附合、混合与加工。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第四十二条 抵押权依法设立后，抵押财产毁损、灭失或者被征收等，抵押权人请求按照原抵押权的顺位就保险金、赔偿金或者补偿金等优先受偿的，人民法院应予支持。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给付义务人已经向抵押人给付了保险金、赔偿金或者补偿金，抵押权人请求给付义务人向其给付保险金、赔偿金或者补偿金的，人民法院不予支持，但是给付义务人接到抵押权人要求向其给付的通知后仍然向抵押人给付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抵押权人请求给付义务人向其给付保险金、赔偿金或者补偿金的，人民法院可以通知抵押人作为第三人参加诉讼。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第四十三条 当事人约定禁止或者限制转让抵押财产但是未将约定登记，抵押人违反约定转让抵押财产，抵押权人请求确认转让合同无效的，人民法院不予支持；抵押财产已经交付或者登记，抵押权人请求确认转让不发生物权效力的，人民法院不予支持，但是抵押权人有证据证明受让人知道的除外；抵押权人请求抵押人承担违约责任的，人民法院依法予以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当事人约定禁止或者限制转让抵押财产且已经将约定登记，抵押人违反约定转让抵押财产，抵押权人请求确认转让合同无效的，人民法院不予支持；抵押财产已经交付或者登记，抵押权人主张转让不发生物权效力的，人民法院应予支持，但是因受让人代替债务人清偿债务导致抵押权消灭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第四十四条 主债权诉讼时效期间届满后，抵押权人主张行使抵押权的，人民法院不予支持；抵押人以主债权诉讼时效期间届满为由，主张不承担担保责任的，人民法院应予支持。主债权诉讼时效期间届满前，债权人仅对债务人提起诉讼，经人民法院判决或者调解后未在民事诉讼法规定的申请执行时效期间内对债务人申请强制执行，其向抵押人主张行使抵押权的，人民法院不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主债权诉讼时效期间届满后，财产被留置的债务人或者对留置财产享有所有权的第三人请求债权人返还留置财产的，人民法院不予支持；债务人或者第三人请求拍卖、变卖留置财产并以所得价款清偿债务的，人民法院应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主债权诉讼时效期间届满的法律后果，以登记作为公示方式的权利质权，参照适用第一款的规定；动产质权、以交付权利凭证作为公示方式的权利质权，参照适用第二款的规定。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第四十五条 当事人约定当债务人不履行到期债务或者发生当事人约定的实现担保物权的情形,担保物权人有权将担保财产自行拍卖、变卖并就所得的价款优先受偿的，该约定有效。因担保人的原因导致担保物权人无法自行对担保财产进行拍卖、变卖，担保物权人请求担保人承担因此增加的费用的，人民法院应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当事人依照民事诉讼法有关“实现担保物权案件”的规定，申请拍卖、变卖担保财产，被申请人以担保合同约定仲裁条款为由主张驳回申请的，人民法院经审查后，应当按照以下情形分别处理：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（一）当事人对担保物权无实质性争议且实现担保物权条件已经成就的，应当裁定准许拍卖、变卖担保财产；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（二）当事人对实现担保物权有部分实质性争议的，可以就无争议的部分裁定准许拍卖、变卖担保财产，并告知可以就有争议的部分申请仲裁；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（三）当事人对实现担保物权有实质性争议的，裁定驳回申请，并告知可以向仲裁机构申请仲裁。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债权人以诉讼方式行使担保物权的，应当以债务人和担保人作为共同被告。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（二）不动产抵押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第四十六条 不动产抵押合同生效后未办理抵押登记手续，债权人请求抵押人办理抵押登记手续的，人民法院应予支持。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抵押财产因不可归责于抵押人自身的原因灭失或者被征收等导致不能办理抵押登记，债权人请求抵押人在约定的担保范围内承担责任的，人民法院不予支持；但是抵押人已经获得保险金、赔偿金或者补偿金等，债权人请求抵押人在其所获金额范围内承担赔偿责任的，人民法院依法予以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因抵押人转让抵押财产或者其他可归责于抵押人自身的原因导致不能办理抵押登记，债权人请求抵押人在约定的担保范围内承担责任的，人民法院依法予以支持，但是不得超过抵押权能够设立时抵押人应当承担的责任范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第四十七条 不动产登记簿就抵押财产、被担保的债权范围等所作的记载与抵押合同约定不一致的，人民法院应当根据登记簿的记载确定抵押财产、被担保的债权范围等事项。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第四十八条 当事人申请办理抵押登记手续时，因登记机构的过错致使其不能办理抵押登记，当事人请求登记机构承担赔偿责任的，人民法院依法予以支持。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第四十九条 以违法的建筑物抵押的，抵押合同无效，但是一审法庭辩论终结前已经办理合法手续的除外。抵押合同无效的法律后果，依照本解释第十七条的有关规定处理。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当事人以建设用地使用权依法设立抵押，抵押人以土地上存在违法的建筑物为由主张抵押合同无效的，人民法院不予支持。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第五十条 抵押人以划拨建设用地上的建筑物抵押，当事人以该建设用地使用权不能抵押或者未办理批准手续为由主张抵押合同无效或者不生效的，人民法院不予支持。抵押权依法实现时，拍卖、变卖建筑物所得的价款，应当优先用于补缴建设用地使用权出让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当事人以划拨方式取得的建设用地使用权抵押，抵押人以未办理批准手续为由主张抵押合同无效或者不生效的，人民法院不予支持。已经依法办理抵押登记，抵押权人主张行使抵押权的，人民法院应予支持。抵押权依法实现时所得的价款，参照前款有关规定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第五十一条 当事人仅以建设用地使用权抵押，债权人主张抵押权的效力及于土地上已有的建筑物以及正在建造的建筑物已完成部分的，人民法院应予支持。债权人主张抵押权的效力及于正在建造的建筑物的续建部分以及新增建筑物的，人民法院不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当事人以正在建造的建筑物抵押，抵押权的效力范围限于已办理抵押登记的部分。当事人按照担保合同的约定，主张抵押权的效力及于续建部分、新增建筑物以及规划中尚未建造的建筑物的，人民法院不予支持。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抵押人将建设用地使用权、土地上的建筑物或者正在建造的建筑物分别抵押给不同债权人的，人民法院应当根据抵押登记的时间先后确定清偿顺序。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第五十二条 当事人办理抵押预告登记后，预告登记权利人请求就抵押财产优先受偿，经审查存在尚未办理建筑物所有权首次登记、预告登记的财产与办理建筑物所有权首次登记时的财产不一致、抵押预告登记已经失效等情形，导致不具备办理抵押登记条件的，人民法院不予支持；经审查已经办理建筑物所有权首次登记，且不存在预告登记失效等情形的，人民法院应予支持，并应当认定抵押权自预告登记之日起设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当事人办理了抵押预告登记，抵押人破产，经审查抵押财产属于破产财产，预告登记权利人主张就抵押财产优先受偿的，人民法院应当在受理破产申请时抵押财产的价值范围内予以支持，但是在人民法院受理破产申请前一年内，债务人对没有财产担保的债务设立抵押预告登记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（三）动产与权利担保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第五十三条 当事人在动产和权利担保合同中对担保财产进行概括描述，该描述能够合理识别担保财产的，人民法院应当认定担保成立。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第五十四条 动产抵押合同订立后未办理抵押登记，动产抵押权的效力按照下列情形分别处理：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（一）抵押人转让抵押财产，受让人占有抵押财产后，抵押权人向受让人请求行使抵押权的，人民法院不予支持，但是抵押权人能够举证证明受让人知道或者应当知道已经订立抵押合同的除外；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（二）抵押人将抵押财产出租给他人并移转占有，抵押权人行使抵押权的，租赁关系不受影响，但是抵押权人能够举证证明承租人知道或者应当知道已经订立抵押合同的除外；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（三）抵押人的其他债权人向人民法院申请保全或者执行抵押财产，人民法院已经作出财产保全裁定或者采取执行措施，抵押权人主张对抵押财产优先受偿的，人民法院不予支持；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（四）抵押人破产，抵押权人主张对抵押财产优先受偿的，人民法院不予支持。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第五十五条 债权人、出质人与监管人订立三方协议，出质人以通过一定数量、品种等概括描述能够确定范围的货物为债务的履行提供担保，当事人有证据证明监管人系受债权人的委托监管并实际控制该货物的，人民法院应当认定质权于监管人实际控制货物之日起设立。监管人违反约定向出质人或者其他人放货、因保管不善导致货物毁损灭失，债权人请求监管人承担违约责任的，人民法院依法予以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在前款规定情形下，当事人有证据证明监管人系受出质人委托监管该货物，或者虽然受债权人委托但是未实际履行监管职责，导致货物仍由出质人实际控制的，人民法院应当认定质权未设立。债权人可以基于质押合同的约定请求出质人承担违约责任，但是不得超过质权有效设立时出质人应当承担的责任范围。监管人未履行监管职责，债权人请求监管人承担责任的，人民法院依法予以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第五十六条 买受人在出卖人正常经营活动中通过支付合理对价取得已被设立担保物权的动产，担保物权人请求就该动产优先受偿的，人民法院不予支持，但是有下列情形之一的除外：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（一）购买商品的数量明显超过一般买受人；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（二）购买出卖人的生产设备；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（三）订立买卖合同的目的在于担保出卖人或者第三人履行债务；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（四）买受人与出卖人存在直接或者间接的控制关系；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（五）买受人应当查询抵押登记而未查询的其他情形。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前款所称出卖人正常经营活动，是指出卖人的经营活动属于其营业执照明确记载的经营范围，且出卖人持续销售同类商品。前款所称担保物权人，是指已经办理登记的抵押权人、所有权保留买卖的出卖人、融资租赁合同的出租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第五十七条 担保人在设立动产浮动抵押并办理抵押登记后又购入或者以融资租赁方式承租新的动产，下列权利人为担保价款债权或者租金的实现而订立担保合同，并在该动产交付后十日内办理登记，主张其权利优先于在先设立的浮动抵押权的，人民法院应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（一）在该动产上设立抵押权或者保留所有权的出卖人；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（二）为价款支付提供融资而在该动产上设立抵押权的债权人；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（三）以融资租赁方式出租该动产的出租人。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买受人取得动产但未付清价款或者承租人以融资租赁方式占有租赁物但是未付清全部租金，又以标的物为他人设立担保物权，前款所列权利人为担保价款债权或者租金的实现而订立担保合同，并在该动产交付后十日内办理登记，主张其权利优先于买受人为他人设立的担保物权的，人民法院应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同一动产上存在多个价款优先权的，人民法院应当按照登记的时间先后确定清偿顺序。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第五十八条 以汇票出质，当事人以背书记载“质押”字样并在汇票上签章，汇票已经交付质权人的，人民法院应当认定质权自汇票交付质权人时设立。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第五十九条 存货人或者仓单持有人在仓单上以背书记载“质押”字样，并经保管人签章，仓单已经交付质权人的，人民法院应当认定质权自仓单交付质权人时设立。没有权利凭证的仓单，依法可以办理出质登记的，仓单质权自办理出质登记时设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出质人既以仓单出质，又以仓储物设立担保，按照公示的先后确定清偿顺序；难以确定先后的，按照债权比例清偿。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保管人为同一货物签发多份仓单，出质人在多份仓单上设立多个质权，按照公示的先后确定清偿顺序；难以确定先后的，按照债权比例受偿。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存在第二款、第三款规定的情形，债权人举证证明其损失系由出质人与保管人的共同行为所致，请求出质人与保管人承担连带赔偿责任的，人民法院应予支持。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第六十条 在跟单信用证交易中，开证行与开证申请人之间约定以提单作为担保的，人民法院应当依照民法典关于质权的有关规定处理。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在跟单信用证交易中，开证行依据其与开证申请人之间的约定或者跟单信用证的惯例持有提单，开证申请人未按照约定付款赎单，开证行主张对提单项下货物优先受偿的，人民法院应予支持；开证行主张对提单项下货物享有所有权的，人民法院不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在跟单信用证交易中，开证行依据其与开证申请人之间的约定或者跟单信用证的惯例，通过转让提单或者提单项下货物取得价款，开证申请人请求返还超出债权部分的，人民法院应予支持。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前三款规定不影响合法持有提单的开证行以提单持有人身份主张运输合同项下的权利。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第六十一条 以现有的应收账款出质，应收账款债务人向质权人确认应收账款的真实性后，又以应收账款不存在或者已经消灭为由主张不承担责任的，人民法院不予支持。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以现有的应收账款出质，应收账款债务人未确认应收账款的真实性，质权人以应收账款债务人为被告，请求就应收账款优先受偿，能够举证证明办理出质登记时应收账款真实存在的，人民法院应予支持；质权人不能举证证明办理出质登记时应收账款真实存在，仅以已经办理出质登记为由，请求就应收账款优先受偿的，人民法院不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以现有的应收账款出质，应收账款债务人已经向应收账款债权人履行了债务，质权人请求应收账款债务人履行债务的，人民法院不予支持，但是应收账款债务人接到质权人要求向其履行的通知后，仍然向应收账款债权人履行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以基础设施和公用事业项目收益权、提供服务或者劳务产生的债权以及其他将有的应收账款出质，当事人为应收账款设立特定账户，发生法定或者约定的质权实现事由时，质权人请求就该特定账户内的款项优先受偿的，人民法院应予支持；特定账户内的款项不足以清偿债务或者未设立特定账户，质权人请求折价或者拍卖、变卖项目收益权等将有的应收账款，并以所得的价款优先受偿的，人民法院依法予以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第六十二条 债务人不履行到期债务，债权人因同一法律关系留置合法占有的第三人的动产，并主张就该留置财产优先受偿的，人民法院应予支持。第三人以该留置财产并非债务人的财产为由请求返还的，人民法院不予支持。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企业之间留置的动产与债权并非同一法律关系，债务人以该债权不属于企业持续经营中发生的债权为由请求债权人返还留置财产的，人民法院应予支持。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企业之间留置的动产与债权并非同一法律关系，债权人留置第三人的财产，第三人请求债权人返还留置财产的，人民法院应予支持。</w:t>
      </w:r>
    </w:p>
    <w:p>
      <w:pPr>
        <w:spacing w:after="156" w:afterLines="50" w:line="360" w:lineRule="auto"/>
        <w:ind w:firstLine="482" w:firstLineChars="200"/>
        <w:rPr>
          <w:rFonts w:cs="宋体" w:asciiTheme="majorEastAsia" w:hAnsiTheme="majorEastAsia" w:eastAsiaTheme="majorEastAsia"/>
          <w:b/>
          <w:bCs/>
        </w:rPr>
      </w:pPr>
      <w:r>
        <w:rPr>
          <w:rFonts w:hint="eastAsia" w:cs="宋体" w:asciiTheme="majorEastAsia" w:hAnsiTheme="majorEastAsia" w:eastAsiaTheme="majorEastAsia"/>
          <w:b/>
          <w:bCs/>
        </w:rPr>
        <w:t>四、关于非典型担保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第六十三条 债权人与担保人订立担保合同，约定以法律、行政法规尚未规定可以担保的财产权利设立担保，当事人主张合同无效的，人民法院不予支持。当事人未在法定的登记机构依法进行登记，主张该担保具有物权效力的，人民法院不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第六十四条 在所有权保留买卖中，出卖人依法有权取回标的物，但是与买受人协商不成，当事人请求参照民事诉讼法“实现担保物权案件”的有关规定，拍卖、变卖标的物的，人民法院应予准许。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出卖人请求取回标的物，符合民法典第六百四十二条规定的，人民法院应予支持；买受人以抗辩或者反诉的方式主张拍卖、变卖标的物，并在扣除买受人未支付的价款以及必要费用后返还剩余款项的，人民法院应当一并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第六十五条 在融资租赁合同中，承租人未按照约定支付租金，经催告后在合理期限内仍不支付，出租人请求承租人支付全部剩余租金，并以拍卖、变卖租赁物所得的价款受偿的，人民法院应予支持；当事人请求参照民事诉讼法“实现担保物权案件”的有关规定，以拍卖、变卖租赁物所得价款支付租金的，人民法院应予准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出租人请求解除融资租赁合同并收回租赁物，承租人以抗辩或者反诉的方式主张返还租赁物价值超过欠付租金以及其他费用的，人民法院应当一并处理。当事人对租赁物的价值有争议的，应当按照下列规则确定租赁物的价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（一）融资租赁合同有约定的，按照其约定；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（二）融资租赁合同未约定或者约定不明的，根据约定的租赁物折旧以及合同到期后租赁物的残值来确定；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（三）根据前两项规定的方法仍然难以确定，或者当事人认为根据前两项规定的方法确定的价值严重偏离租赁物实际价值的，根据当事人的申请委托有资质的机构评估。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第六十六条 同一应收账款同时存在保理、应收账款质押和债权转让，当事人主张参照民法典第七百六十八条的规定确定优先顺序的，人民法院应予支持。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在有追索权的保理中，保理人以应收账款债权人或者应收账款债务人为被告提起诉讼，人民法院应予受理；保理人一并起诉应收账款债权人和应收账款债务人的，人民法院可以受理。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应收账款债权人向保理人返还保理融资款本息或者回购应收账款债权后，请求应收账款债务人向其履行应收账款债务的，人民法院应予支持。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第六十七条 在所有权保留买卖、融资租赁等合同中，出卖人、出租人的所有权未经登记不得对抗的“善意第三人”的范围及其效力，参照本解释第五十四条的规定处理。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第六十八条 债务人或者第三人与债权人约定将财产形式上转移至债权人名下，债务人不履行到期债务，债权人有权对财产折价或者以拍卖、变卖该财产所得价款偿还债务的，人民法院应当认定该约定有效。当事人已经完成财产权利变动的公示，债务人不履行到期债务，债权人请求参照民法典关于担保物权的有关规定就该财产优先受偿的，人民法院应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债务人或者第三人与债权人约定将财产形式上转移至债权人名下，债务人不履行到期债务，财产归债权人所有的，人民法院应当认定该约定无效，但是不影响当事人有关提供担保的意思表示的效力。当事人已经完成财产权利变动的公示，债务人不履行到期债务，债权人请求对该财产享有所有权的，人民法院不予支持；债权人请求参照民法典关于担保物权的规定对财产折价或者以拍卖、变卖该财产所得的价款优先受偿的，人民法院应予支持；债务人履行债务后请求返还财产，或者请求对财产折价或者以拍卖、变卖所得的价款清偿债务的，人民法院应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债务人与债权人约定将财产转移至债权人名下，在一定期间后再由债务人或者其指定的第三人以交易本金加上溢价款回购，债务人到期不履行回购义务，财产归债权人所有的，人民法院应当参照第二款规定处理。回购对象自始不存在的，人民法院应当依照民法典第一百四十六条第二款的规定，按照其实际构成的法律关系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第六十九条 股东以将其股权转移至债权人名下的方式为债务履行提供担保，公司或者公司的债权人以股东未履行或者未全面履行出资义务、抽逃出资等为由，请求作为名义股东的债权人与股东承担连带责任的，人民法院不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第七十条 债务人或者第三人为担保债务的履行，设立专门的保证金账户并由债权人实际控制，或者将其资金存入债权人设立的保证金账户，债权人主张就账户内的款项优先受偿的，人民法院应予支持。当事人以保证金账户内的款项浮动为由，主张实际控制该账户的债权人对账户内的款项不享有优先受偿权的，人民法院不予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在银行账户下设立的保证金分户，参照前款规定处理。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当事人约定的保证金并非为担保债务的履行设立，或者不符合前两款规定的情形，债权人主张就保证金优先受偿的，人民法院不予支持，但是不影响当事人依照法律的规定或者按照当事人的约定主张权利。</w:t>
      </w:r>
    </w:p>
    <w:p>
      <w:pPr>
        <w:spacing w:after="156" w:afterLines="50" w:line="360" w:lineRule="auto"/>
        <w:ind w:firstLine="482" w:firstLineChars="200"/>
        <w:rPr>
          <w:rFonts w:cs="宋体" w:asciiTheme="majorEastAsia" w:hAnsiTheme="majorEastAsia" w:eastAsiaTheme="majorEastAsia"/>
          <w:b/>
          <w:bCs/>
        </w:rPr>
      </w:pPr>
      <w:r>
        <w:rPr>
          <w:rFonts w:hint="eastAsia" w:cs="宋体" w:asciiTheme="majorEastAsia" w:hAnsiTheme="majorEastAsia" w:eastAsiaTheme="majorEastAsia"/>
          <w:b/>
          <w:bCs/>
        </w:rPr>
        <w:t>五、附则</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第七十一条 本解释自2021年1月1日起施行。</w:t>
      </w:r>
    </w:p>
    <w:p>
      <w:pPr>
        <w:pStyle w:val="2"/>
        <w:numPr>
          <w:ilvl w:val="0"/>
          <w:numId w:val="0"/>
        </w:numPr>
        <w:ind w:left="922" w:leftChars="0" w:hanging="440" w:firstLineChars="0"/>
      </w:pPr>
      <w:bookmarkStart w:id="21" w:name="_Toc25808"/>
      <w:r>
        <w:rPr>
          <w:rFonts w:cs="宋体" w:asciiTheme="majorEastAsia" w:hAnsiTheme="majorEastAsia" w:eastAsiaTheme="majorEastAsia"/>
          <w:b/>
          <w:bCs/>
          <w:sz w:val="24"/>
          <w:szCs w:val="24"/>
          <w:lang w:val="en-US" w:eastAsia="zh-CN" w:bidi="ar-SA"/>
        </w:rPr>
        <w:t>5.</w:t>
      </w:r>
      <w:r>
        <w:rPr>
          <w:rFonts w:hint="eastAsia"/>
        </w:rPr>
        <w:t>《票据管理实施办法（2011修订）》</w:t>
      </w:r>
      <w:bookmarkEnd w:id="21"/>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发文机构：国务院</w:t>
      </w:r>
      <w:r>
        <w:rPr>
          <w:rFonts w:hint="eastAsia" w:cs="宋体" w:asciiTheme="majorEastAsia" w:hAnsiTheme="majorEastAsia" w:eastAsiaTheme="majorEastAsia"/>
        </w:rPr>
        <w:tab/>
      </w:r>
      <w:r>
        <w:rPr>
          <w:rFonts w:hint="eastAsia" w:cs="宋体" w:asciiTheme="majorEastAsia" w:hAnsiTheme="majorEastAsia" w:eastAsiaTheme="majorEastAsia"/>
        </w:rPr>
        <w:t>文号：中华人民共和国国务院令第588号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（1997年6月23日国务院批准1997年8月21日中国人民银行令第2号发布根据2011年1月8日《国务院关于废止和修改部分行政法规的决定》修订）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为了加强票据管理，维护金融秩序，根据《中华人民共和国票据法》（以下简称票据法）的规定，制定本办法。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在中华人民共和国境内的票据管理，适用本办法。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中国人民银行是票据的管理部门。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票据管理应当遵守票据法和本办法以及有关法律、行政法规的规定，不得损害票据当事人的合法权益。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票据当事人应当依法从事票据活动，行使票据权利，履行票据义务。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票据当事人应当使用中国人民银行规定的统一格式的票据。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银行汇票的出票人，为经中国人民银行批准办理银行汇票业务的银行。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银行本票的出票人，为经中国人民银行批准办理银行本票业务的银行。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商业汇票的出票人，为银行以外的企业和其他组织。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向银行申请办理汇票承兑的商业汇票的出票人，必须具备下列条件：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（一）在承兑银行开立存款账户；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（二）资信状况良好，并具有支付汇票金额的可靠资金来源。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承兑商业汇票的银行，必须具备下列条件：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（一）与出票人具有真实的委托付款关系；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（二）具有支付汇票金额的可靠资金。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向银行申请办理票据贴现的商业汇票的持票人，必须具备下列条件：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（一）在银行开立存款账户；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（二）与出票人、前手之间具有真实的交易关系和债权债务关系。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支票的出票人，为在经中国人民银行批准办理支票存款业务的银行、城市信用合作社和农村信用合作社开立支票存款账户的企业、其他组织和个人。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票据法所称“保证人”，是指具有代为清偿票据债务能力的法人、其他组织或者个人。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国家机关、以公益为目的的事业单位、社会团体、企业法人的分支机构和职能部门不得为保证人；但是，法律另有规定的除外。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银行汇票上的出票人的签章、银行承兑商业汇票的签章，为该银行的汇票专用章加其法定代表人或者其授权的代理人的签名或者盖章。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银行本票上的出票人的签章，为该银行的本票专用章加其法定代表人或者其授权的代理人的签名或者盖章。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银行汇票专用章、银行本票专用章须经中国人民银行批准。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商业汇票上的出票人的签章，为该单位的财务专用章或者公章加其法定代表人或者其授权的代理人的签名或者盖章。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支票上的出票人的签章，出票人为单位的，为与该单位在银行预留签章一致的财务专用章或者公章加其法定代表人或者其授权的代理人的签名或者盖章；出票人为个人的，为与该个人在银行预留签章一致的签名或者盖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票据法所称“本名”，是指符合法律、行政法规以及国家有关规定的身份证件上的姓名。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出票人在票据上的签章不符合票据法和本办法规定的，票据无效；背书人、承兑人、保证人在票据上的签章不符合票据法和本办法规定的，其签章无效，但是不影响票据上其他签章的效力。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票据法所称“代理付款人”，是指根据付款人的委托，代其支付票据金额的银行、城市信用合作社和农村信用合作社。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票据法规定可以办理挂失止付的票据丧失的，失票人可以依照票据法的规定及时通知付款人或者代理付款人挂失止付。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失票人通知票据的付款人或者代理付款人挂失止付时，应当填写挂失止付通知书并签章。挂失止付通知书应当记载下列事项：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（一）票据丧失的时间和事由；</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（二）票据种类、号码、金额、出票日期、付款日期、付款人名称、收款人名称；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（三）挂失止付人的名称、营业场所或者住所以及联系方法。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付款人或者代理付款人收到挂失止付通知书，应当立即暂停支付。付款人或者代理付款人自收到挂失止付通知书之日起12日内没有收到人民法院的止付通知书的，自第13日起，挂失止付通知书失效。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付款人或者代理付款人在收到挂失止付通知书前，已经依法向持票人付款的，不再接受挂失止付。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申请人申请开立支票存款账户的，银行、城市信用合作社和农村信用合作社可以与申请人约定在支票上使用支付密码，作为支付支票金额的条件。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 保证人应当依照票据法的规定，在票据或者其粘单上记载保证事项。保证人为出票人、付款人、承兑人保证的，应当在票据的正面记载保证事项；保证人为背书人保证的，应当在票据的背面或者其粘单上记载保证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 依法背书转让的票据，任何单位和个人不得冻结票据款项；但是，法律另有规定的除外。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 票据法第五十五条所称“签收”，是指持票人在票据的正面签章，表明持票人已经获得付款。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 通过委托收款银行或者通过票据交换系统向付款人提示付款的，持票人向银行提交票据日为提示付款日。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 票据法第六十二条所称“拒绝证明”应当包括下列事项：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（一）被拒绝承兑、付款的票据的种类及其主要记载事项；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（二）拒绝承兑、付款的事实依据和法律依据；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（三）拒绝承兑、付款的时间；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（四）拒绝承兑人、拒绝付款人的签章。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票据法第六十二条所称“退票理由书”应当包括下列事项：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（一）所退票据的种类；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（二）退票的事实依据和法律依据；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（三）退票时间；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（四）退票人签章。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 票据法第六十三条规定的“其他有关证明”是指：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（一）医院或者有关单位出具的承兑人、付款人死亡的证明；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（二）司法机关出具的承兑人、付款人逃匿的证明；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（三）公证机关出具的具有拒绝证明效力的文书。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 票据法第七十条第一款第（二）项、第七十一条第一款第（二）项规定的“利率”，是指中国人民银行规定的流动资金贷款利率。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第三十条 有票据法第一百零二条所列行为之一，情节轻微，不构成犯罪的，由公安机关依法予以处罚。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第三十一条 签发空头支票或者签发与其预留的签章不符的支票，不以骗取财物为目的的，由中国人民银行处以票面金额5%但不低于1000元的罚款；持票人有权要求出票人赔偿支票金额2%的赔偿金。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第三十二条 金融机构的工作人员在票据业务中玩忽职守，对违反票据法和本办法规定的票据予以承兑、付款、保证或者贴现的，对直接负责的主管人员和其他直接责任人员给予警告、记过、撤职或者开除的处分；造成重大损失，构成犯罪的，依法追究刑事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第三十三条 票据的付款人对见票即付或者到期的票据，故意压票、拖延支付的，由中国人民银行处以压票、拖延支付期间内每日票据金额0.7‰的罚款；对直接负责的主管人员和其他直接责任人员给予警告、记过、撤职或者开除的处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第三十四条 违反中国人民银行规定，擅自印制票据的，由中国人民银行责令改正，处以1万元以上20万元以下的罚款；情节严重的，中国人民银行有权提请有关部门吊销其营业执照。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第三十五条 票据的格式、联次、颜色、规格及防伪技术要求和印制，由中国人民银行规定。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中国人民银行在确定票据格式时，可以根据少数民族地区和外国驻华使领馆的实际需要，在票据格式中增加少数民族文字或者外国文字。</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第三十六条 本办法自1997年10月1日起施行。</w:t>
      </w:r>
    </w:p>
    <w:p>
      <w:pPr>
        <w:pStyle w:val="2"/>
        <w:numPr>
          <w:ilvl w:val="0"/>
          <w:numId w:val="0"/>
        </w:numPr>
        <w:ind w:left="922" w:leftChars="0" w:hanging="440" w:firstLineChars="0"/>
      </w:pPr>
      <w:bookmarkStart w:id="22" w:name="_Toc23900"/>
      <w:r>
        <w:rPr>
          <w:rFonts w:cs="宋体" w:asciiTheme="majorEastAsia" w:hAnsiTheme="majorEastAsia" w:eastAsiaTheme="majorEastAsia"/>
          <w:b/>
          <w:bCs/>
          <w:sz w:val="24"/>
          <w:szCs w:val="24"/>
          <w:lang w:val="en-US" w:eastAsia="zh-CN" w:bidi="ar-SA"/>
        </w:rPr>
        <w:t>6.</w:t>
      </w:r>
      <w:r>
        <w:rPr>
          <w:rFonts w:hint="eastAsia"/>
        </w:rPr>
        <w:t>《征信业管理条例》</w:t>
      </w:r>
      <w:bookmarkEnd w:id="2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发文机构：国务院文号：中华人民共和国国务院令第631号</w:t>
      </w:r>
    </w:p>
    <w:p>
      <w:pPr>
        <w:spacing w:after="156" w:afterLines="50" w:line="360" w:lineRule="auto"/>
        <w:ind w:firstLine="482" w:firstLineChars="200"/>
        <w:outlineLvl w:val="0"/>
        <w:rPr>
          <w:rFonts w:cs="宋体" w:asciiTheme="majorEastAsia" w:hAnsiTheme="majorEastAsia" w:eastAsiaTheme="majorEastAsia"/>
          <w:b/>
          <w:bCs/>
        </w:rPr>
      </w:pPr>
      <w:bookmarkStart w:id="23" w:name="_Toc20974"/>
      <w:r>
        <w:rPr>
          <w:rFonts w:hint="eastAsia" w:cs="宋体" w:asciiTheme="majorEastAsia" w:hAnsiTheme="majorEastAsia" w:eastAsiaTheme="majorEastAsia"/>
          <w:b/>
          <w:bCs/>
        </w:rPr>
        <w:t>第一章总则</w:t>
      </w:r>
      <w:bookmarkEnd w:id="2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为了规范征信活动，保护当事人合法权益，引导、促进征信业健康发展，推进社会信用体系建设，制定本条例。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在中国境内从事征信业务及相关活动，适用本条例。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本条例所称征信业务，是指对企业、事业单位等组织（以下统称企业）的信用信息和个人的信用信息进行采集、整理、保存、加工，并向信息使用者提供的活动。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国家设立的金融信用信息基础数据库进行信息的采集、整理、保存、加工和提供，适用本条例第五章规定。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国家机关以及法律、法规授权的具有管理公共事务职能的组织依照法律、行政法规和国务院的规定，为履行职责进行的企业和个人信息的采集、整理、保存、加工和公布，不适用本条例。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从事征信业务及相关活动，应当遵守法律法规，诚实守信，不得危害国家秘密，不得侵犯商业秘密和个人隐私。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中国人民银行（以下称国务院征信业监督管理部门）及其派出机构依法对征信业进行监督管理。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县级以上地方人民政府和国务院有关部门依法推进本地区、本行业的社会信用体系建设，培育征信市场，推动征信业发展。</w:t>
      </w:r>
    </w:p>
    <w:p>
      <w:pPr>
        <w:spacing w:after="156" w:afterLines="50" w:line="360" w:lineRule="auto"/>
        <w:ind w:firstLine="482" w:firstLineChars="200"/>
        <w:outlineLvl w:val="0"/>
        <w:rPr>
          <w:rFonts w:cs="宋体" w:asciiTheme="majorEastAsia" w:hAnsiTheme="majorEastAsia" w:eastAsiaTheme="majorEastAsia"/>
          <w:b/>
          <w:bCs/>
        </w:rPr>
      </w:pPr>
      <w:bookmarkStart w:id="24" w:name="_Toc2633"/>
      <w:r>
        <w:rPr>
          <w:rFonts w:hint="eastAsia" w:cs="宋体" w:asciiTheme="majorEastAsia" w:hAnsiTheme="majorEastAsia" w:eastAsiaTheme="majorEastAsia"/>
          <w:b/>
          <w:bCs/>
        </w:rPr>
        <w:t>第二章征信机构</w:t>
      </w:r>
      <w:bookmarkEnd w:id="2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本条例所称征信机构，是指依法设立，主要经营征信业务的机构。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设立经营个人征信业务的征信机构，应当符合《中华人民共和国公司法》规定的公司设立条件和下列条件，并经国务院征信业监督管理部门批准：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（一）主要股东信誉良好，最近3年无重大违法违规记录；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（二）注册资本不少于人民币5000万元；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（三）有符合国务院征信业监督管理部门规定的保障信息安全的设施、设备和制度、措施；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（四）拟任董事、监事和高级管理人员符合本条例第八条规定的任职条件；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（五）国务院征信业监督管理部门规定的其他审慎性条件。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申请设立经营个人征信业务的征信机构，应当向国务院征信业监督管理部门提交申请书和证明其符合本条例第六条规定条件的材料。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国务院征信业监督管理部门应当依法进行审查，自受理申请之日起60日内作出批准或者不予批准的决定。决定批准的，颁发个人征信业务经营许可证；不予批准的，应当书面说明理由。</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经批准设立的经营个人征信业务的征信机构，凭个人征信业务经营许可证向公司登记机关办理登记。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未经国务院征信业监督管理部门批准，任何单位和个人不得经营个人征信业务。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经营个人征信业务的征信机构的董事、监事和高级管理人员，应当熟悉与征信业务相关的法律法规，具有履行职责所需的征信业从业经验和管理能力，最近3年无重大违法违规记录,并取得国务院征信业监督管理部门核准的任职资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经营个人征信业务的征信机构设立分支机构、合并或者分立、变更注册资本、变更出资额占公司资本总额5%以上或者持股占公司股份5%以上的股东的，应当经国务院征信业监督管理部门批准。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经营个人征信业务的征信机构变更名称的，应当向国务院征信业监督管理部门办理备案。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设立经营企业征信业务的征信机构，应当符合《中华人民共和国公司法》规定的设立条件，并自公司登记机关准予登记之日起30日内向所在地的国务院征信业监督管理部门派出机构办理备案，并提供下列材料：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（一）营业执照；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（二）股权结构、组织机构说明；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（三）业务范围、业务规则、业务系统的基本情况；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（四）信息安全和风险防范措施。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备案事项发生变更的，应当自变更之日起30日内向原备案机构办理变更备案。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征信机构应当按照国务院征信业监督管理部门的规定，报告上一年度开展征信业务的情况。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国务院征信业监督管理部门应当向社会公告经营个人征信业务和企业征信业务的征信机构名单，并及时更新。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征信机构解散或者被依法宣告破产的，应当向国务院征信业监督管理部门报告，并按照下列方式处理信息数据库：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（一）与其他征信机构约定并经国务院征信业监督管理部门同意，转让给其他征信机构；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（二）不能依照前项规定转让的，移交给国务院征信业监督管理部门指定的征信机构；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（三）不能依照前两项规定转让、移交的，在国务院征信业监督管理部门的监督下销毁。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经营个人征信业务的征信机构解散或者被依法宣告破产的，还应当在国务院征信业监督管理部门指定的媒体上公告，并将个人征信业务经营许可证交国务院征信业监督管理部门注销。</w:t>
      </w:r>
    </w:p>
    <w:p>
      <w:pPr>
        <w:spacing w:after="156" w:afterLines="50" w:line="360" w:lineRule="auto"/>
        <w:ind w:firstLine="482" w:firstLineChars="200"/>
        <w:outlineLvl w:val="0"/>
        <w:rPr>
          <w:rFonts w:cs="宋体" w:asciiTheme="majorEastAsia" w:hAnsiTheme="majorEastAsia" w:eastAsiaTheme="majorEastAsia"/>
          <w:b/>
          <w:bCs/>
        </w:rPr>
      </w:pPr>
      <w:bookmarkStart w:id="25" w:name="_Toc19696"/>
      <w:r>
        <w:rPr>
          <w:rFonts w:hint="eastAsia" w:cs="宋体" w:asciiTheme="majorEastAsia" w:hAnsiTheme="majorEastAsia" w:eastAsiaTheme="majorEastAsia"/>
          <w:b/>
          <w:bCs/>
        </w:rPr>
        <w:t>第三章征信业务规则</w:t>
      </w:r>
      <w:bookmarkEnd w:id="2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采集个人信息应当经信息主体本人同意，未经本人同意不得采集。但是，依照法律、行政法规规定公开的信息除外。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企业的董事、监事、高级管理人员与其履行职务相关的信息，不作为个人信息。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禁止征信机构采集个人的宗教信仰、基因、指纹、血型、疾病和病史信息以及法律、行政法规规定禁止采集的其他个人信息。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征信机构不得采集个人的收入、存款、有价证券、商业保险、不动产的信息和纳税数额信息。但是，征信机构明确告知信息主体提供该信息可能产生的不利后果，并取得其书面同意的除外。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信息提供者向征信机构提供个人不良信息，应当事先告知信息主体本人。但是，依照法律、行政法规规定公开的不良信息除外。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征信机构对个人不良信息的保存期限，自不良行为或者事件终止之日起为5年；超过5年的，应当予以删除。</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在不良信息保存期限内，信息主体可以对不良信息作出说明，征信机构应当予以记载。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信息主体可以向征信机构查询自身信息。个人信息主体有权每年两次免费获取本人的信用报告。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向征信机构查询个人信息的，应当取得信息主体本人的书面同意并约定用途。但是，法律规定可以不经同意查询的除外。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征信机构不得违反前款规定提供个人信息。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征信机构或者信息提供者、信息使用者采用格式合同条款取得个人信息主体同意的，应当在合同中作出足以引起信息主体注意的提示，并按照信息主体的要求作出明确说明。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信息使用者应当按照与个人信息主体约定的用途使用个人信息，不得用作约定以外的用途，不得未经个人信息主体同意向第三方提供。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征信机构可以通过信息主体、企业交易对方、行业协会提供信息，政府有关部门依法已公开的信息，人民法院依法公布的判决、裁定等渠道，采集企业信息。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征信机构不得采集法律、行政法规禁止采集的企业信息。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征信机构应当按照国务院征信业监督管理部门的规定，建立健全和严格执行保障信息安全的规章制度，并采取有效技术措施保障信息安全。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经营个人征信业务的征信机构应当对其工作人员查询个人信息的权限和程序作出明确规定，对工作人员查询个人信息的情况进行登记，如实记载查询工作人员的姓名，查询的时间、内容及用途。工作人员不得违反规定的权限和程序查询信息，不得泄露工作中获取的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 征信机构应当采取合理措施，保障其提供信息的准确性。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征信机构提供的信息供信息使用者参考。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 征信机构在中国境内采集的信息的整理、保存和加工，应当在中国境内进行。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征信机构向境外组织或者个人提供信息，应当遵守法律、行政法规和国务院征信业监督管理部门的有关规定。</w:t>
      </w:r>
    </w:p>
    <w:p>
      <w:pPr>
        <w:spacing w:after="156" w:afterLines="50" w:line="360" w:lineRule="auto"/>
        <w:ind w:firstLine="482" w:firstLineChars="200"/>
        <w:outlineLvl w:val="0"/>
        <w:rPr>
          <w:rFonts w:cs="宋体" w:asciiTheme="majorEastAsia" w:hAnsiTheme="majorEastAsia" w:eastAsiaTheme="majorEastAsia"/>
          <w:b/>
          <w:bCs/>
        </w:rPr>
      </w:pPr>
      <w:bookmarkStart w:id="26" w:name="_Toc30725"/>
      <w:r>
        <w:rPr>
          <w:rFonts w:hint="eastAsia" w:cs="宋体" w:asciiTheme="majorEastAsia" w:hAnsiTheme="majorEastAsia" w:eastAsiaTheme="majorEastAsia"/>
          <w:b/>
          <w:bCs/>
        </w:rPr>
        <w:t>第四章异议和投诉</w:t>
      </w:r>
      <w:bookmarkEnd w:id="2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 信息主体认为征信机构采集、保存、提供的信息存在错误、遗漏的，有权向征信机构或者信息提供者提出异议，要求更正。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征信机构或者信息提供者收到异议，应当按照国务院征信业监督管理部门的规定对相关信息作出存在异议的标注，自收到异议之日起20日内进行核查和处理，并将结果书面答复异议人。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经核查，确认相关信息确有错误、遗漏的，信息提供者、征信机构应当予以更正；确认不存在错误、遗漏的，应当取消异议标注；经核查仍不能确认的，对核查情况和异议内容应当予以记载。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 信息主体认为征信机构或者信息提供者、信息使用者侵害其合法权益的，可以向所在地的国务院征信业监督管理部门派出机构投诉。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受理投诉的机构应当及时进行核查和处理，自受理之日起30日内书面答复投诉人。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信息主体认为征信机构或者信息提供者、信息使用者侵害其合法权益的，可以直接向人民法院起诉。</w:t>
      </w:r>
    </w:p>
    <w:p>
      <w:pPr>
        <w:spacing w:after="156" w:afterLines="50" w:line="360" w:lineRule="auto"/>
        <w:ind w:firstLine="482" w:firstLineChars="200"/>
        <w:outlineLvl w:val="0"/>
        <w:rPr>
          <w:rFonts w:cs="宋体" w:asciiTheme="majorEastAsia" w:hAnsiTheme="majorEastAsia" w:eastAsiaTheme="majorEastAsia"/>
          <w:b/>
          <w:bCs/>
        </w:rPr>
      </w:pPr>
      <w:bookmarkStart w:id="27" w:name="_Toc15132"/>
      <w:r>
        <w:rPr>
          <w:rFonts w:hint="eastAsia" w:cs="宋体" w:asciiTheme="majorEastAsia" w:hAnsiTheme="majorEastAsia" w:eastAsiaTheme="majorEastAsia"/>
          <w:b/>
          <w:bCs/>
        </w:rPr>
        <w:t>第五章金融信用信息基础数据库</w:t>
      </w:r>
      <w:bookmarkEnd w:id="2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 国家设立金融信用信息基础数据库，为防范金融风险、促进金融业发展提供相关信息服务。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金融信用信息基础数据库由专业运行机构建设、运行和维护。该运行机构不以营利为目的，由国务院征信业监督管理部门监督管理。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 金融信用信息基础数据库接收从事信贷业务的机构按照规定提供的信贷信息。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金融信用信息基础数据库为信息主体和取得信息主体本人书面同意的信息使用者提供查询服务。国家机关可以依法查询金融信用信息基础数据库的信息。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 从事信贷业务的机构应当按照规定向金融信用信息基础数据库提供信贷信息。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从事信贷业务的机构向金融信用信息基础数据库或者其他主体提供信贷信息，应当事先取得信息主体的书面同意，并适用本条例关于信息提供者的规定。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第三十条 不从事信贷业务的金融机构向金融信用信息基础数据库提供、查询信用信息以及金融信用信息基础数据库接收其提供的信用信息的具体办法，由国务院征信业监督管理部门会同国务院有关金融监督管理机构依法制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第三十一条 金融信用信息基础数据库运行机构可以按照补偿成本原则收取查询服务费用，收费标准由国务院价格主管部门规定。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第三十二条 本条例第十四条、第十六条、第十七条、第十八条、第二十二条、第二十三条、第二十四条、第二十五条、第二十六条适用于金融信用信息基础数据库运行机构。</w:t>
      </w:r>
    </w:p>
    <w:p>
      <w:pPr>
        <w:spacing w:after="156" w:afterLines="50" w:line="360" w:lineRule="auto"/>
        <w:ind w:firstLine="482" w:firstLineChars="200"/>
        <w:outlineLvl w:val="0"/>
        <w:rPr>
          <w:rFonts w:cs="宋体" w:asciiTheme="majorEastAsia" w:hAnsiTheme="majorEastAsia" w:eastAsiaTheme="majorEastAsia"/>
          <w:b/>
          <w:bCs/>
        </w:rPr>
      </w:pPr>
      <w:bookmarkStart w:id="28" w:name="_Toc3203"/>
      <w:r>
        <w:rPr>
          <w:rFonts w:hint="eastAsia" w:cs="宋体" w:asciiTheme="majorEastAsia" w:hAnsiTheme="majorEastAsia" w:eastAsiaTheme="majorEastAsia"/>
          <w:b/>
          <w:bCs/>
        </w:rPr>
        <w:t>第六章监督管理</w:t>
      </w:r>
      <w:bookmarkEnd w:id="28"/>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第三十三条 国务院征信业监督管理部门及其派出机构依照法律、行政法规和国务院的规定，履行对征信业和金融信用信息基础数据库运行机构的监督管理职责，可以采取下列监督检查措施：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（一）进入征信机构、金融信用信息基础数据库运行机构进行现场检查，对向金融信用信息基础数据库提供或者查询信息的机构遵守本条例有关规定的情况进行检查；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（二）询问当事人和与被调查事件有关的单位和个人，要求其对与被调查事件有关的事项作出说明；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（三）查阅、复制与被调查事件有关的文件、资料，对可能被转移、销毁、隐匿或者篡改的文件、资料予以封存；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（四）检查相关信息系统。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进行现场检查或者调查的人员不得少于2人，并应当出示合法证件和检查、调查通知书。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被检查、调查的单位和个人应当配合，如实提供有关文件、资料，不得隐瞒、拒绝和阻碍。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第三十四条 经营个人征信业务的征信机构、金融信用信息基础数据库、向金融信用信息基础数据库提供或者查询信息的机构发生重大信息泄露等事件的，国务院征信业监督管理部门可以采取临时接管相关信息系统等必要措施，避免损害扩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第三十五条 国务院征信业监督管理部门及其派出机构的工作人员对在工作中知悉的国家秘密和信息主体的信息，应当依法保密。</w:t>
      </w:r>
    </w:p>
    <w:p>
      <w:pPr>
        <w:spacing w:after="156" w:afterLines="50" w:line="360" w:lineRule="auto"/>
        <w:ind w:firstLine="482" w:firstLineChars="200"/>
        <w:outlineLvl w:val="0"/>
        <w:rPr>
          <w:rFonts w:cs="宋体" w:asciiTheme="majorEastAsia" w:hAnsiTheme="majorEastAsia" w:eastAsiaTheme="majorEastAsia"/>
          <w:b/>
          <w:bCs/>
        </w:rPr>
      </w:pPr>
      <w:bookmarkStart w:id="29" w:name="_Toc20790"/>
      <w:r>
        <w:rPr>
          <w:rFonts w:hint="eastAsia" w:cs="宋体" w:asciiTheme="majorEastAsia" w:hAnsiTheme="majorEastAsia" w:eastAsiaTheme="majorEastAsia"/>
          <w:b/>
          <w:bCs/>
        </w:rPr>
        <w:t>第七章法律责任</w:t>
      </w:r>
      <w:bookmarkEnd w:id="29"/>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第三十六条 未经国务院征信业监督管理部门批准，擅自设立经营个人征信业务的征信机构或者从事个人征信业务活动的，由国务院征信业监督管理部门予以取缔，没收违法所得，并处5万元以上50万元以下的罚款；构成犯罪的，依法追究刑事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第三十七条 经营个人征信业务的征信机构违反本条例第九条规定的，由国务院征信业监督管理部门责令限期改正，对单位处2万元以上20万元以下的罚款；对直接负责的主管人员和其他直接责任人员给予警告，处1万元以下的罚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经营企业征信业务的征信机构未按照本条例第十条规定办理备案的，由其所在地的国务院征信业监督管理部门派出机构责令限期改正；逾期不改正的，依照前款规定处罚。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第三十八条 征信机构、金融信用信息基础数据库运行机构违反本条例规定，有下列行为之一的，由国务院征信业监督管理部门或者其派出机构责令限期改正，对单位处5万元以上50万元以下的罚款；对直接负责的主管人员和其他直接责任人员处1万元以上10万元以下的罚款；有违法所得的，没收违法所得。给信息主体造成损失的，依法承担民事责任；构成犯罪的，依法追究刑事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（一）窃取或者以其他方式非法获取信息；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（二）采集禁止采集的个人信息或者未经同意采集个人信息；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（三）违法提供或者出售信息；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（四）因过失泄露信息；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（五）逾期不删除个人不良信息；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（六）未按照规定对异议信息进行核查和处理；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（七）拒绝、阻碍国务院征信业监督管理部门或者其派出机构检查、调查或者不如实提供有关文件、资料；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（八）违反征信业务规则，侵害信息主体合法权益的其他行为。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经营个人征信业务的征信机构有前款所列行为之一，情节严重或者造成严重后果的，由国务院征信业监督管理部门吊销其个人征信业务经营许可证。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第三十九条 征信机构违反本条例规定，未按照规定报告其上一年度开展征信业务情况的，由国务院征信业监督管理部门或者其派出机构责令限期改正；逾期不改正的，对单位处2万元以上10万元以下的罚款；对直接负责的主管人员和其他直接责任人员给予警告，处1万元以下的罚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第四十条 向金融信用信息基础数据库提供或者查询信息的机构违反本条例规定，有下列行为之一的，由国务院征信业监督管理部门或者其派出机构责令限期改正，对单位处5万元以上50万元以下的罚款；对直接负责的主管人员和其他直接责任人员处1万元以上10万元以下的罚款；有违法所得的，没收违法所得。给信息主体造成损失的，依法承担民事责任；构成犯罪的，依法追究刑事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（一）违法提供或者出售信息；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（二）因过失泄露信息；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（三）未经同意查询个人信息或者企业的信贷信息；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（四）未按照规定处理异议或者对确有错误、遗漏的信息不予更正；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（五）拒绝、阻碍国务院征信业监督管理部门或者其派出机构检查、调查或者不如实提供有关文件、资料。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第四十一条 信息提供者违反本条例规定，向征信机构、金融信用信息基础数据库提供非依法公开的个人不良信息，未事先告知信息主体本人，情节严重或者造成严重后果的，由国务院征信业监督管理部门或者其派出机构对单位处2万元以上20万元以下的罚款；对个人处1万元以上5万元以下的罚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第四十二条 信息使用者违反本条例规定，未按照与个人信息主体约定的用途使用个人信息或者未经个人信息主体同意向第三方提供个人信息，情节严重或者造成严重后果的，由国务院征信业监督管理部门或者其派出机构对单位处2万元以上20万元以下的罚款；对个人处1万元以上5万元以下的罚款；有违法所得的，没收违法所得。给信息主体造成损失的，依法承担民事责任；构成犯罪的，依法追究刑事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第四十三条 国务院征信业监督管理部门及其派出机构的工作人员滥用职权、玩忽职守、徇私舞弊，不依法履行监督管理职责，或者泄露国家秘密、信息主体信息的，依法给予处分。给信息主体造成损失的，依法承担民事责任；构成犯罪的，依法追究刑事责任。</w:t>
      </w:r>
    </w:p>
    <w:p>
      <w:pPr>
        <w:spacing w:after="156" w:afterLines="50" w:line="360" w:lineRule="auto"/>
        <w:ind w:firstLine="482" w:firstLineChars="200"/>
        <w:outlineLvl w:val="0"/>
        <w:rPr>
          <w:rFonts w:cs="宋体" w:asciiTheme="majorEastAsia" w:hAnsiTheme="majorEastAsia" w:eastAsiaTheme="majorEastAsia"/>
          <w:b/>
          <w:bCs/>
        </w:rPr>
      </w:pPr>
      <w:bookmarkStart w:id="30" w:name="_Toc32152"/>
      <w:r>
        <w:rPr>
          <w:rFonts w:hint="eastAsia" w:cs="宋体" w:asciiTheme="majorEastAsia" w:hAnsiTheme="majorEastAsia" w:eastAsiaTheme="majorEastAsia"/>
          <w:b/>
          <w:bCs/>
        </w:rPr>
        <w:t>第八章附则</w:t>
      </w:r>
      <w:bookmarkEnd w:id="3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第四十四条 本条例下列用语的含义：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（一）信息提供者，是指向征信机构提供信息的单位和个人，以及向金融信用信息基础数据库提供信息的单位。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（二）信息使用者，是指从征信机构和金融信用信息基础数据库获取信息的单位和个人。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不良信息，是指对信息主体信用状况构成负面影响的下列信息：信息主体在借贷、赊购、担保、租赁、保险、使用信用卡等活动中未按照合同履行义务的信息，对信息主体的行政处罚信息，人民法院判决或者裁定信息主体履行义务以及强制执行的信息，以及国务院征信业监督管理部门规定的其他不良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第四十五条 外商投资征信机构的设立条件，由国务院征信业监督管理部门会同国务院有关部门制定，报国务院批准。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境外征信机构在境内经营征信业务，应当经国务院征信业监督管理部门批准。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第四十六条 本条例施行前已经经营个人征信业务的机构，应当自本条例施行之日起6个月内，依照本条例的规定申请个人征信业务经营许可证。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本条例施行前已经经营企业征信业务的机构，应当自本条例施行之日起3个月内，依照本条例的规定办理备案。</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第四十七条 本条例自2013年3月15日起施行。</w:t>
      </w:r>
      <w:r>
        <w:rPr>
          <w:rFonts w:hint="eastAsia" w:cs="宋体" w:asciiTheme="majorEastAsia" w:hAnsiTheme="majorEastAsia" w:eastAsiaTheme="majorEastAsia"/>
        </w:rPr>
        <w:tab/>
      </w:r>
    </w:p>
    <w:p>
      <w:pPr>
        <w:pStyle w:val="2"/>
        <w:numPr>
          <w:ilvl w:val="0"/>
          <w:numId w:val="0"/>
        </w:numPr>
        <w:ind w:left="922" w:leftChars="0" w:hanging="440" w:firstLineChars="0"/>
      </w:pPr>
      <w:bookmarkStart w:id="31" w:name="_Toc22900"/>
      <w:r>
        <w:rPr>
          <w:rFonts w:cs="宋体" w:asciiTheme="majorEastAsia" w:hAnsiTheme="majorEastAsia" w:eastAsiaTheme="majorEastAsia"/>
          <w:b/>
          <w:bCs/>
          <w:sz w:val="24"/>
          <w:szCs w:val="24"/>
          <w:lang w:val="en-US" w:eastAsia="zh-CN" w:bidi="ar-SA"/>
        </w:rPr>
        <w:t>7.</w:t>
      </w:r>
      <w:r>
        <w:rPr>
          <w:rFonts w:hint="eastAsia"/>
        </w:rPr>
        <w:t>《融资担保公司监督管理条例》</w:t>
      </w:r>
      <w:bookmarkEnd w:id="31"/>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发文机构：国务院文号：中华人民共和国国务院令第683号</w:t>
      </w:r>
    </w:p>
    <w:p>
      <w:pPr>
        <w:spacing w:after="156" w:afterLines="50" w:line="360" w:lineRule="auto"/>
        <w:ind w:firstLine="482" w:firstLineChars="200"/>
        <w:outlineLvl w:val="0"/>
        <w:rPr>
          <w:rFonts w:cs="宋体" w:asciiTheme="majorEastAsia" w:hAnsiTheme="majorEastAsia" w:eastAsiaTheme="majorEastAsia"/>
          <w:b/>
          <w:bCs/>
        </w:rPr>
      </w:pPr>
      <w:bookmarkStart w:id="32" w:name="_Toc29061"/>
      <w:r>
        <w:rPr>
          <w:rFonts w:hint="eastAsia" w:cs="宋体" w:asciiTheme="majorEastAsia" w:hAnsiTheme="majorEastAsia" w:eastAsiaTheme="majorEastAsia"/>
          <w:b/>
          <w:bCs/>
        </w:rPr>
        <w:t>第一章总则</w:t>
      </w:r>
      <w:bookmarkEnd w:id="3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为了支持普惠金融发展，促进资金融通，规范融资担保公司的行为，防范风险，制定本条例。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本条例所称融资担保，是指担保人为被担保人借款、发行债券等债务融资提供担保的行为；所称融资担保公司，是指依法设立、经营融资担保业务的有限责任公司或者股份有限公司。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融资担保公司开展业务，应当遵守法律法规，审慎经营，诚实守信，不得损害国家利益、社会公共利益和他人合法权益。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省、自治区、直辖市人民政府确定的部门（以下称监督管理部门）负责对本地区融资担保公司的监督管理。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省、自治区、直辖市人民政府负责制定促进本地区融资担保行业发展的政策措施、处置融资担保公司风险，督促监督管理部门严格履行职责。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国务院建立融资性担保业务监管部际联席会议，负责拟订融资担保公司监督管理制度，协调解决融资担保公司监督管理中的重大问题，督促指导地方人民政府对融资担保公司进行监督管理和风险处置。融资性担保业务监管部际联席会议由国务院银行业监督管理机构牵头，国务院有关部门参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国家推动建立政府性融资担保体系，发展政府支持的融资担保公司，建立政府、银行业金融机构、融资担保公司合作机制，扩大为小微企业和农业、农村、农民提供融资担保业务的规模并保持较低的费率水平。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各级人民政府财政部门通过资本金投入、建立风险分担机制等方式，对主要为小微企业和农业、农村、农民服务的融资担保公司提供财政支持，具体办法由国务院财政部门制定。</w:t>
      </w:r>
    </w:p>
    <w:p>
      <w:pPr>
        <w:spacing w:after="156" w:afterLines="50" w:line="360" w:lineRule="auto"/>
        <w:ind w:firstLine="482" w:firstLineChars="200"/>
        <w:outlineLvl w:val="0"/>
        <w:rPr>
          <w:rFonts w:cs="宋体" w:asciiTheme="majorEastAsia" w:hAnsiTheme="majorEastAsia" w:eastAsiaTheme="majorEastAsia"/>
          <w:b/>
          <w:bCs/>
        </w:rPr>
      </w:pPr>
      <w:bookmarkStart w:id="33" w:name="_Toc31317"/>
      <w:r>
        <w:rPr>
          <w:rFonts w:hint="eastAsia" w:cs="宋体" w:asciiTheme="majorEastAsia" w:hAnsiTheme="majorEastAsia" w:eastAsiaTheme="majorEastAsia"/>
          <w:b/>
          <w:bCs/>
        </w:rPr>
        <w:t>第二章设立、变更和终止</w:t>
      </w:r>
      <w:bookmarkEnd w:id="3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设立融资担保公司，应当经监督管理部门批准。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融资担保公司的名称中应当标明融资担保字样。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未经监督管理部门批准，任何单位和个人不得经营融资担保业务，任何单位不得在名称中使用融资担保字样。国家另有规定的除外。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设立融资担保公司，应当符合《中华人民共和国公司法》的规定，并具备下列条件：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（一）股东信誉良好，最近3年无重大违法违规记录；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（二）注册资本不低于人民币2000万元，且为实缴货币资本；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（三）拟任董事、监事、高级管理人员熟悉与融资担保业务相关的法律法规，具有履行职责所需的从业经验和管理能力；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（四）有健全的业务规范和风险控制等内部管理制度。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省、自治区、直辖市根据本地区经济发展水平和融资担保行业发展的实际情况，可以提高前款规定的注册资本最低限额。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申请设立融资担保公司，应当向监督管理部门提交申请书和证明其符合本条例第七条规定条件的材料。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监督管理部门应当自受理申请之日起30日内作出批准或者不予批准的决定。决定批准的，颁发融资担保业务经营许可证；不予批准的，书面通知申请人并说明理由。</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经批准设立的融资担保公司由监督管理部门予以公告。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融资担保公司合并、分立或者减少注册资本，应当经监督管理部门批准。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融资担保公司在住所地所在省、自治区、直辖市范围内设立分支机构，变更名称，变更持有5%以上股权的股东或者变更董事、监事、高级管理人员，应当自分支机构设立之日起或者变更相关事项之日起30日内向监督管理部门备案；变更后的相关事项应当符合本条例第六条第二款、第七条的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融资担保公司跨省、自治区、直辖市设立分支机构，应当具备下列条件，并经拟设分支机构所在地监督管理部门批准：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（一）注册资本不低于人民币10亿元；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（二）经营融资担保业务3年以上，且最近2个会计年度连续盈利；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（三）最近2年无重大违法违规记录。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拟设分支机构所在地监督管理部门审批的程序和期限，适用本条例第八条的规定。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融资担保公司应当自分支机构设立之日起30日内，将有关情况报告公司住所地监督管理部门。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融资担保公司跨省、自治区、直辖市设立的分支机构的日常监督管理，由分支机构所在地监督管理部门负责，融资担保公司住所地监督管理部门应当予以配合。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融资担保公司解散的，应当依法成立清算组进行清算，并对未到期融资担保责任的承接作出明确安排。清算过程应当接受监督管理部门的监督。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融资担保公司解散或者被依法宣告破产的，应当将融资担保业务经营许可证交监督管理部门注销，并由监督管理部门予以公告。</w:t>
      </w:r>
    </w:p>
    <w:p>
      <w:pPr>
        <w:spacing w:after="156" w:afterLines="50" w:line="360" w:lineRule="auto"/>
        <w:ind w:firstLine="482" w:firstLineChars="200"/>
        <w:outlineLvl w:val="0"/>
        <w:rPr>
          <w:rFonts w:cs="宋体" w:asciiTheme="majorEastAsia" w:hAnsiTheme="majorEastAsia" w:eastAsiaTheme="majorEastAsia"/>
          <w:b/>
          <w:bCs/>
        </w:rPr>
      </w:pPr>
      <w:bookmarkStart w:id="34" w:name="_Toc12554"/>
      <w:r>
        <w:rPr>
          <w:rFonts w:hint="eastAsia" w:cs="宋体" w:asciiTheme="majorEastAsia" w:hAnsiTheme="majorEastAsia" w:eastAsiaTheme="majorEastAsia"/>
          <w:b/>
          <w:bCs/>
        </w:rPr>
        <w:t>第三章经营规则</w:t>
      </w:r>
      <w:bookmarkEnd w:id="3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除经营借款担保、发行债券担保等融资担保业务外，经营稳健、财务状况良好的融资担保公司还可以经营投标担保、工程履约担保、诉讼保全担保等非融资担保业务以及与担保业务有关的咨询等服务业务。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融资担保公司应当按照审慎经营原则，建立健全融资担保项目评审、担保后管理、代偿责任追偿等方面的业务规范以及风险管理等内部控制制度。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政府支持的融资担保公司应当增强运用大数据等现代信息技术手段的能力，为小微企业和农业、农村、农民的融资需求服务。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融资担保公司应当按照国家规定的风险权重，计量担保责任余额。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融资担保公司的担保责任余额不得超过其净资产的10倍。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对主要为小微企业和农业、农村、农民服务的融资担保公司，前款规定的倍数上限可以提高至15倍。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融资担保公司对同一被担保人的担保责任余额与融资担保公司净资产的比例不得超过10%，对同一被担保人及其关联方的担保责任余额与融资担保公司净资产的比例不得超过15%。</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融资担保公司不得为其控股股东、实际控制人提供融资担保，为其他关联方提供融资担保的条件不得优于为非关联方提供同类担保的条件。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融资担保公司为关联方提供融资担保的，应当自提供担保之日起30日内向监督管理部门报告，并在会计报表附注中予以披露。</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融资担保公司应当按照国家有关规定提取相应的准备金。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融资担保费率由融资担保公司与被担保人协商确定。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纳入政府推动建立的融资担保风险分担机制的融资担保公司，应当按照国家有关规定降低对小微企业和农业、农村、农民的融资担保费率。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被担保人或者第三人以抵押、质押方式向融资担保公司提供反担保，依法需要办理登记的，有关登记机关应当依法予以办理。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融资担保公司有权要求被担保人提供与融资担保有关的业务活动和财务状况等信息。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融资担保公司应当向被担保人的债权人提供与融资担保有关的业务活动和财务状况等信息。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融资担保公司自有资金的运用，应当符合国家有关融资担保公司资产安全性、流动性的规定。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 融资担保公司不得从事下列活动：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（一）吸收存款或者变相吸收存款；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（二）自营贷款或者受托贷款；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（三）受托投资。</w:t>
      </w:r>
    </w:p>
    <w:p>
      <w:pPr>
        <w:spacing w:after="156" w:afterLines="50" w:line="360" w:lineRule="auto"/>
        <w:ind w:firstLine="482" w:firstLineChars="200"/>
        <w:outlineLvl w:val="0"/>
        <w:rPr>
          <w:rFonts w:cs="宋体" w:asciiTheme="majorEastAsia" w:hAnsiTheme="majorEastAsia" w:eastAsiaTheme="majorEastAsia"/>
          <w:b/>
          <w:bCs/>
        </w:rPr>
      </w:pPr>
      <w:bookmarkStart w:id="35" w:name="_Toc3306"/>
      <w:r>
        <w:rPr>
          <w:rFonts w:hint="eastAsia" w:cs="宋体" w:asciiTheme="majorEastAsia" w:hAnsiTheme="majorEastAsia" w:eastAsiaTheme="majorEastAsia"/>
          <w:b/>
          <w:bCs/>
        </w:rPr>
        <w:t>第四章监督管理</w:t>
      </w:r>
      <w:bookmarkEnd w:id="3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 监督管理部门应当建立健全监督管理工作制度，运用大数据等现代信息技术手段实时监测风险，加强对融资担保公司的非现场监管和现场检查，并与有关部门建立监督管理协调机制和信息共享机制。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 监督管理部门应当根据融资担保公司的经营规模、主要服务对象、内部管理水平、风险状况等，对融资担保公司实施分类监督管理。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 监督管理部门应当按照国家有关融资担保统计制度的要求，向本级人民政府和国务院银行业监督管理机构报送本地区融资担保公司统计数据。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 监督管理部门应当分析评估本地区融资担保行业发展和监督管理情况，按年度向本级人民政府和国务院银行业监督管理机构报告，并向社会公布。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 监督管理部门进行现场检查，可以采取下列措施：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（一）进入融资担保公司进行检查；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（二）询问融资担保公司的工作人员，要求其对有关检查事项作出说明；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（三）检查融资担保公司的计算机信息管理系统；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（四）查阅、复制与检查事项有关的文件、资料，对可能被转移、隐匿或者毁损的文件、资料、电子设备予以封存。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进行现场检查，应当经监督管理部门负责人批准。检查人员不得少于2人，并应当出示合法证件和检查通知书。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 监督管理部门根据履行职责的需要，可以与融资担保公司的董事、监事、高级管理人员进行监督管理谈话，要求其就融资担保公司业务活动和风险管理的重大事项作出说明。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监督管理部门可以向被担保人的债权人通报融资担保公司的违法违规行为或者风险情况。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第三十条 监督管理部门发现融资担保公司的经营活动可能形成重大风险的，经监督管理部门主要负责人批准，可以区别情形，采取下列措施：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（一）责令其暂停部分业务；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（二）限制其自有资金运用的规模和方式；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（三）责令其停止增设分支机构。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融资担保公司应当及时采取措施，消除重大风险隐患，并向监督管理部门报告有关情况。经监督管理部门验收，确认重大风险隐患已经消除的，监督管理部门应当自验收完毕之日起3日内解除前款规定的措施。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第三十一条 融资担保公司应当按照要求向监督管理部门报送经营报告、财务报告以及注册会计师出具的年度审计报告等文件和资料。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融资担保公司跨省、自治区、直辖市开展业务的，应当按季度向住所地监督管理部门和业务发生地监督管理部门报告业务开展情况。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第三十二条 融资担保公司对监督管理部门依法实施的监督检查应当予以配合，不得拒绝、阻碍。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第三十三条 监督管理部门应当建立健全融资担保公司信用记录制度。融资担保公司信用记录纳入全国信用信息共享平台。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第三十四条 监督管理部门应当会同有关部门建立融资担保公司重大风险事件的预警、防范和处置机制，制定融资担保公司重大风险事件应急预案。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融资担保公司发生重大风险事件的，应当立即采取应急措施，并及时向监督管理部门报告。监督管理部门应当及时处置，并向本级人民政府、国务院银行业监督管理机构和中国人民银行报告。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第三十五条 监督管理部门及其工作人员对监督管理工作中知悉的商业秘密，应当予以保密。</w:t>
      </w:r>
    </w:p>
    <w:p>
      <w:pPr>
        <w:spacing w:after="156" w:afterLines="50" w:line="360" w:lineRule="auto"/>
        <w:ind w:firstLine="482" w:firstLineChars="200"/>
        <w:outlineLvl w:val="0"/>
        <w:rPr>
          <w:rFonts w:cs="宋体" w:asciiTheme="majorEastAsia" w:hAnsiTheme="majorEastAsia" w:eastAsiaTheme="majorEastAsia"/>
          <w:b/>
          <w:bCs/>
        </w:rPr>
      </w:pPr>
      <w:bookmarkStart w:id="36" w:name="_Toc24322"/>
      <w:r>
        <w:rPr>
          <w:rFonts w:hint="eastAsia" w:cs="宋体" w:asciiTheme="majorEastAsia" w:hAnsiTheme="majorEastAsia" w:eastAsiaTheme="majorEastAsia"/>
          <w:b/>
          <w:bCs/>
        </w:rPr>
        <w:t>第五章法律责任</w:t>
      </w:r>
      <w:bookmarkEnd w:id="3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第三十六条 违反本条例规定，未经批准擅自设立融资担保公司或者经营融资担保业务的，由监督管理部门予以取缔或者责令停止经营，处50万元以上100万元以下的罚款，有违法所得的，没收违法所得；构成犯罪的，依法追究刑事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违反本条例规定，未经批准在名称中使用融资担保字样的，由监督管理部门责令限期改正；逾期不改正的，处5万元以上10万元以下的罚款，有违法所得的，没收违法所得。</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第三十七条 融资担保公司有下列情形之一的，由监督管理部门责令限期改正，处10万元以上50万元以下的罚款，有违法所得的，没收违法所得；逾期不改正的，责令停业整顿，情节严重的，吊销其融资担保业务经营许可证：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（一）未经批准合并或者分立；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（二）未经批准减少注册资本；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（三）未经批准跨省、自治区、直辖市设立分支机构。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第三十八条 融资担保公司变更相关事项，未按照本条例规定备案，或者变更后的相关事项不符合本条例规定的，由监督管理部门责令限期改正；逾期不改正的，处5万元以上10万元以下的罚款，情节严重的，责令停业整顿。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第三十九条 融资担保公司受托投资的，由监督管理部门责令限期改正，处50万元以上100万元以下的罚款，有违法所得的，没收违法所得；逾期不改正的，责令停业整顿，情节严重的，吊销其融资担保业务经营许可证。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融资担保公司吸收公众存款或者变相吸收公众存款、从事自营贷款或者受托贷款的，依照有关法律、行政法规予以处罚。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第四十条 融资担保公司有下列情形之一的，由监督管理部门责令限期改正；逾期不改正的，处10万元以上50万元以下的罚款，有违法所得的，没收违法所得，并可以责令停业整顿，情节严重的，吊销其融资担保业务经营许可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（一）担保责任余额与其净资产的比例不符合规定；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（二）为控股股东、实际控制人提供融资担保，或者为其他关联方提供融资担保的条件优于为非关联方提供同类担保的条件；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（三）未按照规定提取相应的准备金；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（四）自有资金的运用不符合国家有关融资担保公司资产安全性、流动性的规定。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第四十一条 融资担保公司未按照要求向监督管理部门报送经营报告、财务报告、年度审计报告等文件、资料或者业务开展情况，或者未报告其发生的重大风险事件的，由监督管理部门责令限期改正，处5万元以上20万元以下的罚款；逾期不改正的，责令停业整顿，情节严重的，吊销其融资担保业务经营许可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第四十二条 融资担保公司有下列情形之一的，由监督管理部门责令限期改正，处20万元以上50万元以下的罚款；逾期不改正的，责令停业整顿，情节严重的，吊销其融资担保业务经营许可证；构成违反治安管理行为的，依照《中华人民共和国治安管理处罚法》予以处罚；构成犯罪的，依法追究刑事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（一）拒绝、阻碍监督管理部门依法实施监督检查；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（二）向监督管理部门提供虚假的经营报告、财务报告、年度审计报告等文件、资料；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（三）拒绝执行监督管理部门依照本条例第三十条第一款规定采取的措施。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第四十三条 依照本条例规定对融资担保公司处以罚款的，根据具体情形，可以同时对负有直接责任的董事、监事、高级管理人员处5万元以下的罚款。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融资担保公司违反本条例规定，情节严重的，监督管理部门对负有直接责任的董事、监事、高级管理人员，可以禁止其在一定期限内担任或者终身禁止其担任融资担保公司的董事、监事、高级管理人员。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第四十四条 监督管理部门的工作人员在融资担保公司监督管理工作中滥用职权、玩忽职守、徇私舞弊的，依法给予处分；构成犯罪的，依法追究刑事责任。</w:t>
      </w:r>
    </w:p>
    <w:p>
      <w:pPr>
        <w:spacing w:after="156" w:afterLines="50" w:line="360" w:lineRule="auto"/>
        <w:ind w:firstLine="482" w:firstLineChars="200"/>
        <w:outlineLvl w:val="0"/>
        <w:rPr>
          <w:rFonts w:cs="宋体" w:asciiTheme="majorEastAsia" w:hAnsiTheme="majorEastAsia" w:eastAsiaTheme="majorEastAsia"/>
          <w:b/>
          <w:bCs/>
        </w:rPr>
      </w:pPr>
      <w:bookmarkStart w:id="37" w:name="_Toc18053"/>
      <w:r>
        <w:rPr>
          <w:rFonts w:hint="eastAsia" w:cs="宋体" w:asciiTheme="majorEastAsia" w:hAnsiTheme="majorEastAsia" w:eastAsiaTheme="majorEastAsia"/>
          <w:b/>
          <w:bCs/>
        </w:rPr>
        <w:t>第六章附则</w:t>
      </w:r>
      <w:bookmarkEnd w:id="3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第四十五条 融资担保行业组织依照法律法规和章程的规定，发挥服务、协调和行业自律作用，引导融资担保公司依法经营，公平竞争。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第四十六条 政府性基金或者政府部门为促进就业创业等直接设立运营机构开展融资担保业务，按照国家有关规定执行。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农村互助式融资担保组织开展担保业务、林业经营主体间开展林权收储担保业务，不适用本条例。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第四十七条 融资再担保公司的管理办法，由国务院银行业监督管理机构会同国务院有关部门另行制定，报国务院批准。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第四十八条 本条例施行前设立的融资担保公司，不符合本条例规定条件的，应当在监督管理部门规定的期限内达到本条例规定的条件；逾期仍不符合规定条件的，不得开展新的融资担保业务。</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第四十九条 本条例自2017年10月1日起施行。</w:t>
      </w:r>
    </w:p>
    <w:p>
      <w:pPr>
        <w:pStyle w:val="2"/>
        <w:numPr>
          <w:ilvl w:val="0"/>
          <w:numId w:val="0"/>
        </w:numPr>
        <w:ind w:left="922" w:leftChars="0" w:hanging="440" w:firstLineChars="0"/>
      </w:pPr>
      <w:bookmarkStart w:id="38" w:name="_Toc2507"/>
      <w:r>
        <w:rPr>
          <w:rFonts w:cs="宋体" w:asciiTheme="majorEastAsia" w:hAnsiTheme="majorEastAsia" w:eastAsiaTheme="majorEastAsia"/>
          <w:b/>
          <w:bCs/>
          <w:sz w:val="24"/>
          <w:szCs w:val="24"/>
          <w:lang w:val="en-US" w:eastAsia="zh-CN" w:bidi="ar-SA"/>
        </w:rPr>
        <w:t>8.</w:t>
      </w:r>
      <w:r>
        <w:rPr>
          <w:rFonts w:hint="eastAsia"/>
        </w:rPr>
        <w:t>《保障中小企业款项支付条例》</w:t>
      </w:r>
      <w:bookmarkEnd w:id="38"/>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发文机构：国务院文号：中华人民共和国国务院令第728号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为了促进机关、事业单位和大型企业及时支付中小企业款项，维护中小企业合法权益，优化营商环境，根据《中华人民共和国中小企业促进法》等法律，制定本条例。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机关、事业单位和大型企业采购货物、工程、服务支付中小企业款项，应当遵守本条例。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本条例所称中小企业，是指在中华人民共和国境内依法设立，依据国务院批准的中小企业划分标准确定的中型企业、小型企业和微型企业；所称大型企业，是指中小企业以外的企业。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中小企业、大型企业依合同订立时的企业规模类型确定。中小企业与机关、事业单位、大型企业订立合同时，应当主动告知其属于中小企业。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国务院负责中小企业促进工作综合管理的部门对机关、事业单位和大型企业及时支付中小企业款项工作进行宏观指导、综合协调、监督检查；国务院有关部门在各自职责范围内，负责相关管理工作。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县级以上地方人民政府负责本行政区域内机关、事业单位和大型企业及时支付中小企业款项的管理工作。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有关行业协会商会应当按照法律法规和组织章程，完善行业自律，禁止本行业大型企业利用优势地位拒绝或者迟延支付中小企业款项，规范引导其履行及时支付中小企业款项义务，保护中小企业合法权益。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机关、事业单位和大型企业不得要求中小企业接受不合理的付款期限、方式、条件和违约责任等交易条件，不得违约拖欠中小企业的货物、工程、服务款项。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中小企业应当依法经营，诚实守信，按照合同约定提供合格的货物、工程和服务。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机关、事业单位使用财政资金从中小企业采购货物、工程、服务，应当严格按照批准的预算执行，不得无预算、超预算开展采购。</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政府投资项目所需资金应当按照国家有关规定确保落实到位，不得由施工单位垫资建设。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机关、事业单位从中小企业采购货物、工程、服务，应当自货物、工程、服务交付之日起30日内支付款项；合同另有约定的，付款期限最长不得超过60日。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大型企业从中小企业采购货物、工程、服务，应当按照行业规范、交易习惯合理约定付款期限并及时支付款项。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合同约定采取履行进度结算、定期结算等结算方式的，付款期限应当自双方确认结算金额之日起算。</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机关、事业单位和大型企业与中小企业约定以货物、工程、服务交付后经检验或者验收合格作为支付中小企业款项条件的，付款期限应当自检验或者验收合格之日起算。</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合同双方应当在合同中约定明确、合理的检验或者验收期限，并在该期限内完成检验或者验收。机关、事业单位和大型企业拖延检验或者验收的，付款期限自约定的检验或者验收期限届满之日起算。</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机关、事业单位和大型企业使用商业汇票等非现金支付方式支付中小企业款项的，应当在合同中作出明确、合理约定，不得强制中小企业接受商业汇票等非现金支付方式，不得利用商业汇票等非现金支付方式变相延长付款期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机关、事业单位和国有大型企业不得强制要求以审计机关的审计结果作为结算依据，但合同另有约定或者法律、行政法规另有规定的除外。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除依法设立的投标保证金、履约保证金、工程质量保证金、农民工工资保证金外，工程建设中不得收取其他保证金。保证金的收取比例应当符合国家有关规定。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机关、事业单位和大型企业不得将保证金限定为现金。中小企业以金融机构保函提供保证的，机关、事业单位和大型企业应当接受。</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机关、事业单位和大型企业应当按照合同约定，在保证期限届满后及时与中小企业对收取的保证金进行核实和结算。</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机关、事业单位和大型企业不得以法定代表人或者主要负责人变更，履行内部付款流程，或者在合同未作约定的情况下以等待竣工验收批复、决算审计等为由，拒绝或者迟延支付中小企业款项。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中小企业以应收账款担保融资的，机关、事业单位和大型企业应当自中小企业提出确权请求之日起30日内确认债权债务关系，支持中小企业融资。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机关、事业单位和大型企业迟延支付中小企业款项的，应当支付逾期利息。双方对逾期利息的利率有约定的，约定利率不得低于合同订立时1年期贷款市场报价利率；未作约定的，按照每日利率万分之五支付逾期利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机关、事业单位应当于每年3月31日前将上一年度逾期尚未支付中小企业款项的合同数量、金额等信息通过网站、报刊等便于公众知晓的方式公开。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大型企业应当将逾期尚未支付中小企业款项的合同数量、金额等信息纳入企业年度报告，通过企业信用信息公示系统向社会公示。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省级以上人民政府负责中小企业促进工作综合管理的部门应当建立便利畅通的渠道，受理对机关、事业单位和大型企业拒绝或者迟延支付中小企业款项的投诉。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受理投诉部门应当按照“属地管理、分级负责，谁主管谁负责”的原则，及时将投诉转交有关部门、地方人民政府处理，有关部门、地方人民政府应当依法及时处理，并将处理结果告知投诉人，同时反馈受理投诉部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机关、事业单位和大型企业不履行及时支付中小企业款项义务，情节严重的，受理投诉部门可以依法依规将其失信信息纳入全国信用信息共享平台，并将相关涉企信息通过企业信用信息公示系统向社会公示，依法实施失信惩戒。</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被投诉的机关、事业单位和大型企业及其工作人员不得以任何形式对投诉人进行恐吓、打击报复。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对拒绝或者迟延支付中小企业款项的机关、事业单位，应当在公务消费、办公用房、经费安排等方面采取必要的限制措施。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审计机关依法对机关、事业单位和国有大型企业支付中小企业款项情况实施审计监督。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省级以上人民政府建立督查制度，对及时支付中小企业款项工作进行监督检查。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国家依法开展中小企业发展环境评估和营商环境评价时，应当将及时支付中小企业款项工作情况纳入评估和评价内容。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 国务院负责中小企业促进工作综合管理的部门依据国务院批准的中小企业划分标准，建立企业规模类型测试平台，提供中小企业规模类型自测服务。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对中小企业规模类型有争议的，可以向主张为中小企业一方所在地的县级以上地方人民政府负责中小企业促进工作综合管理的部门申请认定。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 国家鼓励法律服务机构为与机关、事业单位和大型企业存在支付纠纷的中小企业提供法律服务。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新闻媒体应当开展对及时支付中小企业款项相关法律法规政策的公益宣传，依法加强对机关、事业单位和大型企业拒绝或者迟延支付中小企业款项行为的舆论监督。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 机关、事业单位违反本条例，有下列情形之一的，由其上级机关、主管部门责令改正；拒不改正的，对直接负责的主管人员和其他直接责任人员依法给予处分：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（一）未在规定的期限内支付中小企业货物、工程、服务款项；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（二）拖延检验、验收；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（三）强制中小企业接受商业汇票等非现金支付方式，或者利用商业汇票等非现金支付方式变相延长付款期限；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（四）没有法律、行政法规依据或者合同约定，要求以审计机关的审计结果作为结算依据；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（五）违法收取保证金，拒绝接受中小企业提供的金融机构保函，或者不及时与中小企业对保证金进行核实、结算；</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（六）以法定代表人或者主要负责人变更，履行内部付款流程，或者在合同未作约定的情况下以等待竣工验收批复、决算审计等为由，拒绝或者迟延支付中小企业款项；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（七）未按照规定公开逾期尚未支付中小企业款项信息；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（八）对投诉人进行恐吓、打击报复。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 机关、事业单位有下列情形之一的，依照法律、行政法规和国家有关规定追究责任：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（一）使用财政资金从中小企业采购货物、工程、服务，未按照批准的预算执行；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（二）要求施工单位对政府投资项目垫资建设。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 大型企业违反本条例，未按照规定在企业年度报告中公示逾期尚未支付中小企业款项信息或者隐瞒真实情况、弄虚作假的，由市场监督管理部门依法处理。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国有大型企业没有合同约定或者法律、行政法规依据，要求以审计机关的审计结果作为结算依据的，由其主管部门责令改正；拒不改正的，对直接负责的主管人员和其他直接责任人员依法给予处分。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 部分或者全部使用财政资金的团体组织采购货物、工程、服务支付中小企业款项，参照本条例对机关、事业单位的有关规定执行。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军队采购货物、工程、服务支付中小企业款项，按照军队的有关规定执行。</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第二十九条 本条例自2020年9月1日起施行。</w:t>
      </w:r>
    </w:p>
    <w:p>
      <w:pPr>
        <w:pStyle w:val="2"/>
        <w:numPr>
          <w:ilvl w:val="0"/>
          <w:numId w:val="0"/>
        </w:numPr>
        <w:ind w:left="922" w:leftChars="0" w:hanging="440" w:firstLineChars="0"/>
      </w:pPr>
      <w:bookmarkStart w:id="39" w:name="_Toc22781"/>
      <w:r>
        <w:rPr>
          <w:rFonts w:cs="宋体" w:asciiTheme="majorEastAsia" w:hAnsiTheme="majorEastAsia" w:eastAsiaTheme="majorEastAsia"/>
          <w:b/>
          <w:bCs/>
          <w:sz w:val="24"/>
          <w:szCs w:val="24"/>
          <w:lang w:val="en-US" w:eastAsia="zh-CN" w:bidi="ar-SA"/>
        </w:rPr>
        <w:t>9.</w:t>
      </w:r>
      <w:r>
        <w:rPr>
          <w:rFonts w:hint="eastAsia"/>
        </w:rPr>
        <w:t>《人民币利率管理规定（1999修订版）》</w:t>
      </w:r>
      <w:bookmarkEnd w:id="39"/>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发文机构：中国人民银行文号：</w:t>
      </w:r>
      <w:r>
        <w:rPr>
          <w:rFonts w:hint="eastAsia" w:cs="宋体" w:asciiTheme="majorEastAsia" w:hAnsiTheme="majorEastAsia" w:eastAsiaTheme="majorEastAsia"/>
        </w:rPr>
        <w:tab/>
      </w:r>
      <w:r>
        <w:rPr>
          <w:rFonts w:hint="eastAsia" w:cs="宋体" w:asciiTheme="majorEastAsia" w:hAnsiTheme="majorEastAsia" w:eastAsiaTheme="majorEastAsia"/>
        </w:rPr>
        <w:t>银发〔1990〕328号</w:t>
      </w:r>
    </w:p>
    <w:p>
      <w:pPr>
        <w:spacing w:after="156" w:afterLines="50" w:line="360" w:lineRule="auto"/>
        <w:ind w:firstLine="482" w:firstLineChars="200"/>
        <w:outlineLvl w:val="0"/>
        <w:rPr>
          <w:rFonts w:cs="宋体" w:asciiTheme="majorEastAsia" w:hAnsiTheme="majorEastAsia" w:eastAsiaTheme="majorEastAsia"/>
          <w:b/>
          <w:bCs/>
        </w:rPr>
      </w:pPr>
      <w:bookmarkStart w:id="40" w:name="_Toc19724"/>
      <w:r>
        <w:rPr>
          <w:rFonts w:hint="eastAsia" w:cs="宋体" w:asciiTheme="majorEastAsia" w:hAnsiTheme="majorEastAsia" w:eastAsiaTheme="majorEastAsia"/>
          <w:b/>
          <w:bCs/>
        </w:rPr>
        <w:t>第一章总则</w:t>
      </w:r>
      <w:bookmarkEnd w:id="4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有效发挥利率杠杆对国民经济的调节作用，加强利率管理，维护正常的金融秩序，创造公平有序的竞争环境，根据《中华人民共和国中国人民银行法》、《中华人民共和国商业银行法》及其他相关法律、法规制定本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凡在中华人民共和国境内（不含香港、澳门、台湾）经营人民币存、贷款业务的金融机构，邮政储蓄部门，其他法人、自然人和其他组织，均遵守本规定。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中国人民银行是经国务院授权的利率主管机关，代表国家依法行使利率管理权，其他任何单位和个人不得干预。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中国人民银行制定的各种利率是法定利率。法定利率具有法律效力，其他任何单位和个人均无权变动。</w:t>
      </w:r>
    </w:p>
    <w:p>
      <w:pPr>
        <w:spacing w:after="156" w:afterLines="50" w:line="360" w:lineRule="auto"/>
        <w:ind w:firstLine="482" w:firstLineChars="200"/>
        <w:outlineLvl w:val="0"/>
        <w:rPr>
          <w:rFonts w:cs="宋体" w:asciiTheme="majorEastAsia" w:hAnsiTheme="majorEastAsia" w:eastAsiaTheme="majorEastAsia"/>
          <w:b/>
          <w:bCs/>
        </w:rPr>
      </w:pPr>
      <w:bookmarkStart w:id="41" w:name="_Toc1502"/>
      <w:r>
        <w:rPr>
          <w:rFonts w:hint="eastAsia" w:cs="宋体" w:asciiTheme="majorEastAsia" w:hAnsiTheme="majorEastAsia" w:eastAsiaTheme="majorEastAsia"/>
          <w:b/>
          <w:bCs/>
        </w:rPr>
        <w:t>第二章利率的制定与管理</w:t>
      </w:r>
      <w:bookmarkEnd w:id="41"/>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中国人民银行制定、调整以下利率：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（一）中国人民银行对金融机构存、贷款利率和再贴现利率；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（二）金融机构存、贷款利率；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（三）优惠贷款利率；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（四）罚息利率；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（五）同业存款利率；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（六）利率浮动幅度；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（七）其他。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金融机构根据中国人民银行的有关规定确定以下利率：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（一）浮动利率；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（二）内部资金往来利率；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（三）同业拆借利率；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（四）贴现利率和转贴现利率；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（五）中国人民银行允许确定的其他利率。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中国人民银行总行履行下列利率管理职责：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（一）根据国民经济发展的需要和货币政策要求，制定利率政策和利率管理法规并组织实施；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（二）领导中国人民银行分支机构的利率管理工作；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（三）监督、检查金融机构执行国家利率政策、法规的情况；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（四）协调、处理金融机构的利率纠纷和利率违规行为；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（五）宣传、解释国家的利率政策及相关法规；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（六）研究、制定、实施国家的利率改革规划；</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（七）监测、调控金融市场利率；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（八）其他利率管理工作。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中国人民银行分支机构在中国人民银行总行授权的范围内履行下列利率管理职责：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（一）实施对辖区内金融机构的利率管理，指导下级行的利率管理工作；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（二）及时转发中国人民银行总行的有关文件，对有关利率调整等内容的重要文件，应在生效日之前传送到辖区内金融机构，并严守机密；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（三）监督、检查辖区内金融机构执行利率政策的情况，处理利率违规行为，并及时向上级行报告本辖区内利率政策执行情况；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（四）建立和完善利率违规举报制度，加强社会监督；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（五）宣传、解释国家的利率政策及相关法规；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（六）组织有关利率政策的调查研究；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（七）完成上级行安排的其他利率管理工作。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金融机构履行下列职责：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（一）协助和配合中国人民银行进行利率管理工作，宣传、贯彻、执行国家利率政策；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（二）系统内发布的有关利率的文件必须抄送辖区内中国人民银行，凡与中国人民银行有关规定不一致的内容，以中国人民银行的规定为准；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（三）严格执行国家的利率政策和相关法规，加强自身及所辖分支机构的利率管理，发现问题应主动处理；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（四）自觉接受并主动配合中国人民银行的利率管理和检查，提供真实的相关资料；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（五）在营业场所挂牌公告法定利率水平；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（六）对利率政策执行过程中出现的问题及时向中国人民银行报告。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利率管理人员应当坚持原则，依法办事，不得徇私舞弊，泄露机密，玩忽职守。</w:t>
      </w:r>
    </w:p>
    <w:p>
      <w:pPr>
        <w:spacing w:after="156" w:afterLines="50" w:line="360" w:lineRule="auto"/>
        <w:ind w:firstLine="482" w:firstLineChars="200"/>
        <w:outlineLvl w:val="0"/>
        <w:rPr>
          <w:rFonts w:cs="宋体" w:asciiTheme="majorEastAsia" w:hAnsiTheme="majorEastAsia" w:eastAsiaTheme="majorEastAsia"/>
          <w:b/>
          <w:bCs/>
        </w:rPr>
      </w:pPr>
      <w:bookmarkStart w:id="42" w:name="_Toc11930"/>
      <w:r>
        <w:rPr>
          <w:rFonts w:hint="eastAsia" w:cs="宋体" w:asciiTheme="majorEastAsia" w:hAnsiTheme="majorEastAsia" w:eastAsiaTheme="majorEastAsia"/>
          <w:b/>
          <w:bCs/>
        </w:rPr>
        <w:t>第三章存款的结息</w:t>
      </w:r>
      <w:bookmarkEnd w:id="4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城乡居民储蓄存款的计息和结息按《储蓄管理条例》有关条款办理。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活期储蓄存款每年结息一次，六月三十日为结息日，结息后的利息并入本金起息，元以下尾数不计息。未到结息日清户时，按清户日挂牌公告的利率计息到清户前一日止。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定期储蓄存款按存入日挂牌公告的利率计息，利随本清，遇利率调整不分段计息。定活两便储蓄存款按支取日挂牌公告的一年期以内（含一年）相应档次的定期整存整取存款利率打折计息，打折后低于活期存款利率时，按活期存款利率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通知存款的计息和结息按《通知存款管理办法》执行。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大额可转让定期存单在存期内按照存单开户日银行挂牌公告的利率计息，利随本清，遇利率调整不分段计息，逾期期间不计息。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单位存款的计息和结息按《人民币单位存款管理办法》的有关条款办理。活期存款按季结息，每季末月的二十日为结息日。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单位通知存款计息和结息按《通知存款管理办法》执行。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单位协定存款按结息日或清户日挂牌公告的利率计息，按季结息。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金融机构经中国人民银行批准收取的保证金，按照单位存款计息、结息。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职工个人住房公积金存款，当年归集的按结息日挂牌公告的活期存款利率计息，结息后转入上年结转户；上年结转的按结息日挂牌公告的三个月定期整存整取存款利率计息。公积金存款的结息日为每年的六月三十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金融机构的准备金存款按季结息，每季度末月的二十日为结息日，按结息日的利率计息，遇利率调整不分段计息。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对欠交准备金的金融机构，从欠交之日起按罚息利率计收罚息，直至交足准备金止，遇罚息利率调整分段计息。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邮政储蓄转存款，按季结息，每季度末月的二十日为结息日，遇利率调整分段计息。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保险公司在中国人民银行的保证金存款按金融机构准备金存款利率计息，在其他金融机构的存款按单位存款利率计息。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金融机构按规定全额划缴中国人民银行的财政存款一律不计息，不划缴的部分按单位存款利率计息。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金融机构同业存款利率，最高不得超过准备金存款利率，计息和结息同第十五条。</w:t>
      </w:r>
    </w:p>
    <w:p>
      <w:pPr>
        <w:spacing w:after="156" w:afterLines="50" w:line="360" w:lineRule="auto"/>
        <w:ind w:firstLine="482" w:firstLineChars="200"/>
        <w:outlineLvl w:val="0"/>
        <w:rPr>
          <w:rFonts w:cs="宋体" w:asciiTheme="majorEastAsia" w:hAnsiTheme="majorEastAsia" w:eastAsiaTheme="majorEastAsia"/>
          <w:b/>
          <w:bCs/>
        </w:rPr>
      </w:pPr>
      <w:bookmarkStart w:id="43" w:name="_Toc17468"/>
      <w:r>
        <w:rPr>
          <w:rFonts w:hint="eastAsia" w:cs="宋体" w:asciiTheme="majorEastAsia" w:hAnsiTheme="majorEastAsia" w:eastAsiaTheme="majorEastAsia"/>
          <w:b/>
          <w:bCs/>
        </w:rPr>
        <w:t>第四章贷款的结息</w:t>
      </w:r>
      <w:bookmarkEnd w:id="4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短期贷款（期限在一年以下，含一年），按贷款合同签定日的相应档次的法定贷款利率计息。贷款合同期内，遇利率调整不分段计息。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短期贷款按季结息的，每季度末月的二十日为结息日；按月结息的，每月的二十日为结息日。具体结息方式由借贷双方协商确定。对贷款期内不能按期支付的利息按贷款合同利率按季或按月计收复利，贷款逾期后改按罚息利率计收复利。最后一笔贷款清偿时，利随本清。</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中长期贷款（期限在一年以上）利率实行一年一定。贷款（包括贷款合同生效日起一年内应分笔拨付的所有资金）根据贷款合同确定的期限，按贷款合同生效日相应档次的法定贷款利率计息，每满一年后（分笔拨付的以第一笔贷款的发放日为准），再按当时相应档次的法定贷款利率确定下一年度利率。中长期贷款按季结息，每季度末月二十日为结息日。对贷款期内不能按期支付的利息按合同利率按季计收复利，贷款逾期后改按罚息利率计收复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贴现按贴现日确定的贴现利率一次性收取利息。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 信托贷款利率由委托双方在不超过同期同档次法定贷款利率水平（含浮动）的范围内协商确定；租赁贷款利率按同期同档次法定贷款利率（含浮动）执行。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 贷款展期，期限累计计算，累计期限达到新的利率期限档次时，自展期之日起，按展期日挂牌的同档次利率计息；达不到新的期限档次时，按展期日的原档次利率计息。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 逾期贷款或挤占挪用贷款，从逾期或挤占挪用之日起，按罚息利率计收罚息，直到清偿本息为止，遇罚息利率调整分段计息。对贷款逾期或挪用期间不能按期支付的利息按罚息利率按季（短期贷款也可按月）计收复利。如同一笔贷款既逾期又挤占挪用，应择其重，不能并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 借款人在借款合同到期日之前归还借款时，贷款人有权按原贷款合同向借款人收取利息。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 个人住房贷款利率及其计结息办法按《个人住房贷款管理办法》有关规定执行，贷款逾期按本规定第二十五条办理。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 中国人民银行对金融机构再贷款按合同利率计息，遇利率调整不分段计息。按季结息，每季度末月二十日为结息日。对贷款期内不能按期支付的利息按合同利率计收复利。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再贷款展期，贷款期限不累计计算，按展期日相应档次的再贷款利率计息。再贷款逾期，按逾期日的罚息利率计收罚息，直到归还本息，遇罚息利率调整分段计息。对逾期期间不能按期支付的利息按罚息利率按季计收复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 再贴现按再贴现日的再贴现利率一次性收取利息。</w:t>
      </w:r>
    </w:p>
    <w:p>
      <w:pPr>
        <w:spacing w:after="156" w:afterLines="50" w:line="360" w:lineRule="auto"/>
        <w:ind w:firstLine="482" w:firstLineChars="200"/>
        <w:outlineLvl w:val="0"/>
        <w:rPr>
          <w:rFonts w:cs="宋体" w:asciiTheme="majorEastAsia" w:hAnsiTheme="majorEastAsia" w:eastAsiaTheme="majorEastAsia"/>
          <w:b/>
          <w:bCs/>
        </w:rPr>
      </w:pPr>
      <w:bookmarkStart w:id="44" w:name="_Toc30598"/>
      <w:r>
        <w:rPr>
          <w:rFonts w:hint="eastAsia" w:cs="宋体" w:asciiTheme="majorEastAsia" w:hAnsiTheme="majorEastAsia" w:eastAsiaTheme="majorEastAsia"/>
          <w:b/>
          <w:bCs/>
        </w:rPr>
        <w:t>第五章罚则</w:t>
      </w:r>
      <w:bookmarkEnd w:id="4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第三十条 有下列行为之一的，属于利率违规行为：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（一）擅自提高或降低存、贷款利率的；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（二）变相提高或降低存、贷款利率的；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（三）擅自或变相以高利率发行债券的；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（四）其他违反本规定和国家利率政策的。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第三十一条 对存在上述利率违规行为的金融机构，中国人民银行将视其情节及所致后果轻重，依照有关法律法规给予相应处罚。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第三十二条 金融机构违反国家法律法规和利率政策而多收的贷款利息或少付的存款利息，以及个人、法人及其他组织因金融机构违规而多收的存款利息或少付的贷款利息，不受法律保护。</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第三十三条 金融机构因非不可抗力拖延或拒绝支付存款人已到期合法存款的，未付期间按该笔存款原存单利率对存款人支付利息。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第三十四条 对违反《企业债券管理条例》，擅自或变相以高利率发行债券的企业，辖区内中国人民银行有权制止，并会同有关部门依照《企业债券管理条例》等有关法规进行处罚。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第三十五条 对违反本规定的金融机构的主要负责人、业务部门负责人及直接业务人员，视情节轻重和造成危害的程度，按照中国人民银行《关于对金融机构违法违规经营责任人的行政处分规定》给予相应处分。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第三十六条 违反利率管理规定的当事人，对中国人民银行做出的处罚不服的，可以按《行政复议条例》有关规定向上一级人民银行申请复议。</w:t>
      </w:r>
    </w:p>
    <w:p>
      <w:pPr>
        <w:spacing w:after="156" w:afterLines="50" w:line="360" w:lineRule="auto"/>
        <w:ind w:firstLine="482" w:firstLineChars="200"/>
        <w:outlineLvl w:val="0"/>
        <w:rPr>
          <w:rFonts w:cs="宋体" w:asciiTheme="majorEastAsia" w:hAnsiTheme="majorEastAsia" w:eastAsiaTheme="majorEastAsia"/>
          <w:b/>
          <w:bCs/>
        </w:rPr>
      </w:pPr>
      <w:bookmarkStart w:id="45" w:name="_Toc22021"/>
      <w:r>
        <w:rPr>
          <w:rFonts w:hint="eastAsia" w:cs="宋体" w:asciiTheme="majorEastAsia" w:hAnsiTheme="majorEastAsia" w:eastAsiaTheme="majorEastAsia"/>
          <w:b/>
          <w:bCs/>
        </w:rPr>
        <w:t>第六章附则</w:t>
      </w:r>
      <w:bookmarkEnd w:id="4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第三十七条 本规定由中国人民银行总行负责解释、说明和修改。</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第三十八条 本规定自一九九九年四月一日起实行。此前凡与本规定相抵触的，皆以本规定为准。</w:t>
      </w:r>
      <w:r>
        <w:rPr>
          <w:rFonts w:hint="eastAsia" w:cs="宋体" w:asciiTheme="majorEastAsia" w:hAnsiTheme="majorEastAsia" w:eastAsiaTheme="majorEastAsia"/>
        </w:rPr>
        <w:tab/>
      </w:r>
    </w:p>
    <w:p>
      <w:pPr>
        <w:pStyle w:val="2"/>
        <w:numPr>
          <w:ilvl w:val="0"/>
          <w:numId w:val="0"/>
        </w:numPr>
        <w:ind w:left="922" w:leftChars="0" w:hanging="440" w:firstLineChars="0"/>
      </w:pPr>
      <w:bookmarkStart w:id="46" w:name="_Toc4765"/>
      <w:r>
        <w:rPr>
          <w:rFonts w:cs="宋体" w:asciiTheme="majorEastAsia" w:hAnsiTheme="majorEastAsia" w:eastAsiaTheme="majorEastAsia"/>
          <w:b/>
          <w:bCs/>
          <w:sz w:val="24"/>
          <w:szCs w:val="24"/>
          <w:lang w:val="en-US" w:eastAsia="zh-CN" w:bidi="ar-SA"/>
        </w:rPr>
        <w:t>10.</w:t>
      </w:r>
      <w:r>
        <w:rPr>
          <w:rFonts w:hint="eastAsia"/>
        </w:rPr>
        <w:t>《再贴现办法》</w:t>
      </w:r>
      <w:bookmarkEnd w:id="4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发文机构：中国人民银行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为了促进商业汇票承兑、贴现业务的发展，发挥中央银行宏观调控的作用，根据中国人民银行制定的《信贷资金管理办法》和《商业汇票办法》，特制订本办法。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再贴现是贴现银行持未到期的已贴现汇票向人民银行的贴现，通过转让汇票取得人民银行再贷款的行为。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再贴现的对象是在当地人民银行开立存款帐户的银行。银行在对商业汇票贴现后需要资金时，可以向人民银行申请再贴现。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贴现银行向人民银行申请再贴现时，必须持已办贴现尚未到期的、要式完整的商业承兑汇票和银行承兑汇票，填制再贴现凭证，并在汇票上背书，一并送交人民银行。人民银行审查后，对符合条件的予以再贴现。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再贴现的金额按贴现汇票票面金额扣除贴现日至汇票到期日前一日的利息计算。再贴现的期限从其再贴现之日起至汇票到期日止。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再贴现利率按现有同档次信用贷款利率下浮５％执行。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已办理再贴现的银行，应于再贴现到期日前在人民银行存款帐户内留足资金。再贴现到期日，人民银行从申请再贴现银行的存款帐户内收取票款。再贴现申请人帐户余额不足时，应按照逾期贷款的规定处理。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再贴现的会计核算手续，由各省、自治区、直辖市、计划单列市分行制订。再贴现凭证由各地人民银行比照贴现凭证的格式印制。</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第九条 本办法由中国人民银行负责解释，修改亦同。</w:t>
      </w:r>
    </w:p>
    <w:p>
      <w:pPr>
        <w:pStyle w:val="2"/>
        <w:numPr>
          <w:ilvl w:val="0"/>
          <w:numId w:val="0"/>
        </w:numPr>
        <w:ind w:left="922" w:leftChars="0" w:hanging="440" w:firstLineChars="0"/>
      </w:pPr>
      <w:bookmarkStart w:id="47" w:name="_Toc20745"/>
      <w:r>
        <w:rPr>
          <w:rFonts w:cs="宋体" w:asciiTheme="majorEastAsia" w:hAnsiTheme="majorEastAsia" w:eastAsiaTheme="majorEastAsia"/>
          <w:b/>
          <w:bCs/>
          <w:sz w:val="24"/>
          <w:szCs w:val="24"/>
          <w:lang w:val="en-US" w:eastAsia="zh-CN" w:bidi="ar-SA"/>
        </w:rPr>
        <w:t>11.</w:t>
      </w:r>
      <w:r>
        <w:rPr>
          <w:rFonts w:hint="eastAsia"/>
        </w:rPr>
        <w:t>《贷款通则》</w:t>
      </w:r>
      <w:bookmarkEnd w:id="4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发文机构：中国人民银行</w:t>
      </w:r>
      <w:r>
        <w:rPr>
          <w:rFonts w:hint="eastAsia" w:cs="宋体" w:asciiTheme="majorEastAsia" w:hAnsiTheme="majorEastAsia" w:eastAsiaTheme="majorEastAsia"/>
        </w:rPr>
        <w:tab/>
      </w:r>
      <w:r>
        <w:rPr>
          <w:rFonts w:hint="eastAsia" w:cs="宋体" w:asciiTheme="majorEastAsia" w:hAnsiTheme="majorEastAsia" w:eastAsiaTheme="majorEastAsia"/>
        </w:rPr>
        <w:t>文号中国人民银行令[1996]2号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1996年6月28日中国人民银行令1996年第2号公布，自1996年8月1日起施行。</w:t>
      </w:r>
    </w:p>
    <w:p>
      <w:pPr>
        <w:spacing w:after="156" w:afterLines="50" w:line="360" w:lineRule="auto"/>
        <w:ind w:firstLine="482" w:firstLineChars="200"/>
        <w:outlineLvl w:val="0"/>
        <w:rPr>
          <w:rFonts w:cs="宋体" w:asciiTheme="majorEastAsia" w:hAnsiTheme="majorEastAsia" w:eastAsiaTheme="majorEastAsia"/>
          <w:b/>
          <w:bCs/>
        </w:rPr>
      </w:pPr>
      <w:bookmarkStart w:id="48" w:name="_Toc989"/>
      <w:r>
        <w:rPr>
          <w:rFonts w:hint="eastAsia" w:cs="宋体" w:asciiTheme="majorEastAsia" w:hAnsiTheme="majorEastAsia" w:eastAsiaTheme="majorEastAsia"/>
          <w:b/>
          <w:bCs/>
        </w:rPr>
        <w:t>第一章总则</w:t>
      </w:r>
      <w:bookmarkEnd w:id="48"/>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了规范贷款行为，维护借贷双方的合法权益，保证信贷资产的安全，提高贷款使用的整体效益，促进社会经济的持续发展，根据《中华人民共和国中国人民银行法》、《中华人民共和国商业银行法》等有关法律规定，制定本通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本通则所称贷款人，系指在中国境内依法设立的经营贷款业务的中资金融机构。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本通则所称借款人，系指从经营贷款业务的中资金融机构取得贷款的法人、其他经济组织、个体工商户和自然人。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本通则中所称贷款系指贷款人对借款人提供的并按约定的利率和期限还本付息的货币资金。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本通则中的贷款币种包括人民币和外币。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贷款的发放和使用应当符合国家的法律、行政法规和中国人民银行发布的行政规章，应当遵循效益性、安全性和流动性的原则。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借款人与贷款人的借贷活动应当遵循平等、自愿、公平和诚实信用的原则。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贷款人开展贷款业务，应当遵循公平竞争、密切协作的原则，不得从事不正当竞争。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中国人民银行及其分支机构是实施《贷款通则》的监管机关。</w:t>
      </w:r>
    </w:p>
    <w:p>
      <w:pPr>
        <w:spacing w:after="156" w:afterLines="50" w:line="360" w:lineRule="auto"/>
        <w:ind w:firstLine="482" w:firstLineChars="200"/>
        <w:outlineLvl w:val="0"/>
        <w:rPr>
          <w:rFonts w:cs="宋体" w:asciiTheme="majorEastAsia" w:hAnsiTheme="majorEastAsia" w:eastAsiaTheme="majorEastAsia"/>
          <w:b/>
          <w:bCs/>
        </w:rPr>
      </w:pPr>
      <w:bookmarkStart w:id="49" w:name="_Toc267"/>
      <w:r>
        <w:rPr>
          <w:rFonts w:hint="eastAsia" w:cs="宋体" w:asciiTheme="majorEastAsia" w:hAnsiTheme="majorEastAsia" w:eastAsiaTheme="majorEastAsia"/>
          <w:b/>
          <w:bCs/>
        </w:rPr>
        <w:t>第二章贷款种类</w:t>
      </w:r>
      <w:bookmarkEnd w:id="49"/>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自营贷款、委托贷款和特定贷款：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自营贷款，系指贷款人以合法方式筹集的资金自主发放的贷款，其风险由贷款人承担，并由贷款人收回本金和利息。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委托贷款，系指由政府部门、企事业单位及个人等委托人提供资金，由贷款人（即受托人）根据委托人确定的贷款对象、用途、金额期限、利率等代为发放、监督使用并协助收回的贷款。贷款人（受托人）只收取手续费，不承担贷款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特定贷款，系指国务院批准并对贷款可能造成的损失采取相应补救措施后责成国有独资商业银行发放的贷款。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短期贷款、中期贷款和长期贷款：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短期贷款，系指贷款期限在１年以内（含１年）的贷款。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中期贷款，系指贷款期限在１年以上（不含１年）５年以下（含５年）的贷款。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长期贷款，系指贷款期限在５年（不含５年）以上的贷款。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信用贷款、担保贷款和票据贴现：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信用贷款，系指以借款人的信誉发放的贷款。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担保贷款，系指保证贷款、抵押贷款、质押贷款。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保证贷款，系指按《中华人民共和国担保法》规定的保证方式以第三人承诺在借款人不能偿还贷款时，按约定承担一般保证责任或者连带责任而发放的贷款。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抵押贷款，系指按《中华人民共和国担保法》规定的抵押方式以借款人或第三人的财产作为抵押物发放的贷款。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质押贷款，系指按《中华人民共和国担保法》规定的质押方式以借款人或第三人的动产或权利作为质物发放的贷款。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票据贴现，系指贷款人以购买借款人未到期商业票据的方式发放的贷款。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除委托贷款以外，贷款人发放贷款，借款人应当提供担保。贷款人应当对保证人的偿还能力，抵押物、质物的权属和价值以及实现抵押权、质权的可行性进行严格审查。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经贷款审查、评估，确认借款人资信良好，确能偿还贷款的，可以不提供担保。</w:t>
      </w:r>
    </w:p>
    <w:p>
      <w:pPr>
        <w:spacing w:after="156" w:afterLines="50" w:line="360" w:lineRule="auto"/>
        <w:ind w:firstLine="482" w:firstLineChars="200"/>
        <w:outlineLvl w:val="0"/>
        <w:rPr>
          <w:rFonts w:cs="宋体" w:asciiTheme="majorEastAsia" w:hAnsiTheme="majorEastAsia" w:eastAsiaTheme="majorEastAsia"/>
          <w:b/>
          <w:bCs/>
        </w:rPr>
      </w:pPr>
      <w:bookmarkStart w:id="50" w:name="_Toc26801"/>
      <w:r>
        <w:rPr>
          <w:rFonts w:hint="eastAsia" w:cs="宋体" w:asciiTheme="majorEastAsia" w:hAnsiTheme="majorEastAsia" w:eastAsiaTheme="majorEastAsia"/>
          <w:b/>
          <w:bCs/>
        </w:rPr>
        <w:t>第三章贷款期限和利率</w:t>
      </w:r>
      <w:bookmarkEnd w:id="5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贷款期限：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贷款限期根据借款人的生产经营周期、还款能力和贷款人的资金供给能力由借贷双方共同商议后确定，并在借款合同中载明。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自营贷款期限最长一般不得超过１０年，超过１０年应当报中国人民银行备案。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票据贴现的贴现期限最长不得超过６个月，贴现期限为从贴现之日起到票据到期日止。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贷款展期：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不能按期归还贷款的，借款人应当在贷款到期日之前，向贷款人申请贷款展期。是否展期由贷款人决定。申请保证贷款、抵押贷款、质押贷款展期的，还应当由保证人、抵押人、出质人出具同意的书面证明。已有约定的，按照约定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短期贷款展期期限累计不得超过原贷款期限；中期贷款展期期限累计不得超过原贷款期限的一半；长期贷款展期期限累计不得超过３年。国家另有规定者除外。借款人未申请展期或申请展期未得到批准，其贷款从到期日次日起，转入逾期贷款帐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贷款利率的确定：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贷款人应当按照中国人民银行规定的贷款利率上下限，确定每笔贷款利率，并在借款合同中载明。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贷款利率的计收：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贷款人和借款人应当按借款合同和中国人民银行有关计息规定按期计收或交付利息。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贷款的展期期限加上原期限达到新的利率期限档次时，从展期之日起，贷款利息按新的期限档次利率计收。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逾期贷款按规定计收罚息。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贷款的贴息：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根据国家政策，为了促进某些产业和地区经济的发展，有关部门可以对贷款补贴利息。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对有关部门贴息的贷款，承办银行应当自主审查发放，并根据本通则有关规定严格管理。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贷款停息、减息、缓息和免息；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除国务院决定外，任何单位和个人无权决定停息、减息、缓息和免息。贷款人应当依据国务院决定，按照职责权限范围具体办理停息、减息、缓息和免息。</w:t>
      </w:r>
    </w:p>
    <w:p>
      <w:pPr>
        <w:spacing w:after="156" w:afterLines="50" w:line="360" w:lineRule="auto"/>
        <w:ind w:firstLine="482" w:firstLineChars="200"/>
        <w:outlineLvl w:val="0"/>
        <w:rPr>
          <w:rFonts w:cs="宋体" w:asciiTheme="majorEastAsia" w:hAnsiTheme="majorEastAsia" w:eastAsiaTheme="majorEastAsia"/>
          <w:b/>
          <w:bCs/>
        </w:rPr>
      </w:pPr>
      <w:bookmarkStart w:id="51" w:name="_Toc29597"/>
      <w:r>
        <w:rPr>
          <w:rFonts w:hint="eastAsia" w:cs="宋体" w:asciiTheme="majorEastAsia" w:hAnsiTheme="majorEastAsia" w:eastAsiaTheme="majorEastAsia"/>
          <w:b/>
          <w:bCs/>
        </w:rPr>
        <w:t>第四章借款人</w:t>
      </w:r>
      <w:bookmarkEnd w:id="51"/>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借款人应当是经工商行政管理机关（或主管机关）核准登记的企（事）业法人、其他经济组织、个体工商户或具有中华人民共和国国籍的具有完全民事行为能力的自然人。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借款人申请贷款，应当具备产品有市场、生产经营有效益、不挤占挪用贷款资金、恪守信用等基本条件，并且应当符合以下要求：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一、有按期还本付息的能力，原应付贷款利息和到期贷款已清偿；没有清偿的，已经做了贷款人认可的偿还计划。</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二、除自然人和不需要经工商部门核准登记的事业法人外，应当经过工商部门办理年检手续。</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三、已开立基本帐户或一般存款帐户。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四、除国务院规定外，有限责任公司和股份有限公司对外股本权益性投资累计额未超过其净资产总额的５０％。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五、借款人的资产负债率符合贷款人的要求。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六、申请中期、长期贷款的，新建项目的企业法人所有者权益与项目所需总投资的比例不低于国家规定的投资项目的资本金比例。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借款人的权利：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一、可以自主向主办银行或者其他银行的经办机构申请贷款并依条件取得贷款；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二、有权按合同约定提取和使用全部贷款；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三、有权拒绝借款合同以外的附加条件；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四、有权向贷款人的上级和中国人民银行反映、举报有关情况；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五、在征得贷款人同意后，有权向第三人转让债务。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借款人的义务：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一、应当如实提供贷款人要求的资料（法律规定不能提供者除外），应当向贷款人如实提供所有开户行、帐号及存贷款余额情况，配合贷款人的调查、审查和检查；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二、应当接受贷款人对其使用信贷资金情况和有关生产经营、财务活动的监督；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三、应当按借款合同约定用途使用贷款；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四、应当按借款合同约定及时清偿贷款本息；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五、将债务全部或部分转让给第三人的，应当取得贷款人的同意；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六、有危及贷款人债权安全情况时，应当及时通知贷款人，同时采取保全措施。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对借款人的限制：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一、不得在一个贷款人同一辖区内的两个或两个以上同级分支机构取得贷款。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二、不得向贷款人提供虚假的或者隐瞒重要事实的资产负债表、损益表等。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三、不得用贷款从事股本权益性投资，国家另有规定的除外。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四、不得用贷款在有价证券、期货等方面从事投机经营。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五、除依法取得经营房地产资格的借款人以外，不得用贷款经营房地产业务；依法取得经营房地产资格的借款人，不得用贷款从事房地产投机。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六、不得套取贷款用于借贷牟取非法收入。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七、不得违反国家外汇管理规定使用外币贷款。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八、不得采取欺诈手段骗取贷款。</w:t>
      </w:r>
    </w:p>
    <w:p>
      <w:pPr>
        <w:spacing w:after="156" w:afterLines="50" w:line="360" w:lineRule="auto"/>
        <w:ind w:firstLine="482" w:firstLineChars="200"/>
        <w:outlineLvl w:val="0"/>
        <w:rPr>
          <w:rFonts w:cs="宋体" w:asciiTheme="majorEastAsia" w:hAnsiTheme="majorEastAsia" w:eastAsiaTheme="majorEastAsia"/>
          <w:b/>
          <w:bCs/>
        </w:rPr>
      </w:pPr>
      <w:bookmarkStart w:id="52" w:name="_Toc12019"/>
      <w:r>
        <w:rPr>
          <w:rFonts w:hint="eastAsia" w:cs="宋体" w:asciiTheme="majorEastAsia" w:hAnsiTheme="majorEastAsia" w:eastAsiaTheme="majorEastAsia"/>
          <w:b/>
          <w:bCs/>
        </w:rPr>
        <w:t>第五章贷款人</w:t>
      </w:r>
      <w:bookmarkEnd w:id="5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贷款人必须经中国人民银行批准经营贷款业务，持有中国人民银行颁发的《金融机构法人许可证》或《金融机构营业许可证》，并经工商行政管理部门核准登记。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贷款人的权利：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根据贷款条件和贷款程序自主审查和决定贷款，除国务院批准的特定贷款外，有权拒绝任何单位和个人强令其发放贷款或者提供担保。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一、要求借款人提供与借款有关的资料；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二、根据借款人的条件，决定贷与不贷、贷款金额、期限和利率等；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三、了解借款人的生产经营活动和财务活动；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四、依合同约定从借款人帐户上划收贷款本金和利息；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五、借款人未能履行借款合同规定义务的，贷款人有权依合同约定要求借款人提前归还贷款或停止支付借款人尚未使用的贷款；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六、在贷款将受或已受损失的，可依据合同规定，采取使贷款免受损失的措施。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 贷款人的义务：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一、应当公布所经营的贷款的种类、期限和利率，并向借款人提供咨询。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二、应当公开贷款审查的资信内容和发放贷款的条件。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三、贷款人应当审议借款人的借款申请，并及时答复贷与不贷。短期贷款答复时间不得超过１个月，中期、长期贷款答复时间不得超过六个月；国家另有规定者除外。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四、应当对借款人债务、财务、生产、经营情况保密，但对依法查询者除外。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 对贷款人的限制：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贷款的发放必须严格执行《中华人民共和国商业银行法》第三十九条关于资产负债比例管理的有关规定，第四十条关于不得向关系人发放信用贷款、向关系人发放担保贷款的条件不得优于其他借款人同类贷款条件的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二、借款人有下列情形之一者，不得对其发放贷款：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（一）不具备本通则第四章第十七条所规定的资格和条件的；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（二）生产、经营或投资国家明文禁止的产品、项目的；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（三）违反国家外汇管理规定的；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（四）建设项目按国家规定应当报有关部门批准而未取得批准文件的；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（五）生产经营或投资项目未取得环境保护部门许可的；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（六）在实行承包、租赁、联营、合并（兼并）、合作、分立、产权有偿转让、股份制改造等体制变更过程中，未清偿原有贷款债务、落实原有贷款债务或提供相应担保的；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（七）有其他严重违法经营行为的。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三、未经中国人民银行批准，不得对自然人发放外币币种的贷款。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四、自营贷款和特定贷款，除按中国人民银行规定计收利息之外，不得收取其他任何费用；委托贷款，除按中国人民银行规定计收手续费之外，不得收取其他任何费用。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五、不得给委托人垫付资金，国家另有规定的除外。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六、严格控制信用贷款，积极推广担保贷款。</w:t>
      </w:r>
    </w:p>
    <w:p>
      <w:pPr>
        <w:spacing w:after="156" w:afterLines="50" w:line="360" w:lineRule="auto"/>
        <w:ind w:firstLine="482" w:firstLineChars="200"/>
        <w:outlineLvl w:val="0"/>
        <w:rPr>
          <w:rFonts w:cs="宋体" w:asciiTheme="majorEastAsia" w:hAnsiTheme="majorEastAsia" w:eastAsiaTheme="majorEastAsia"/>
          <w:b/>
          <w:bCs/>
        </w:rPr>
      </w:pPr>
      <w:bookmarkStart w:id="53" w:name="_Toc17298"/>
      <w:r>
        <w:rPr>
          <w:rFonts w:hint="eastAsia" w:cs="宋体" w:asciiTheme="majorEastAsia" w:hAnsiTheme="majorEastAsia" w:eastAsiaTheme="majorEastAsia"/>
          <w:b/>
          <w:bCs/>
        </w:rPr>
        <w:t>第六章贷款程序</w:t>
      </w:r>
      <w:bookmarkEnd w:id="5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 贷款申请：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借款人需要贷款，应当向主办银行或者其他银行的经办机构直接申请。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借款人应当填写包括借款金额、借款用途、偿还能力及还款方式等主要内容的《借款申请书》并提供以下资料：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一、借款人及保证人基本情况；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二、财政部门或会计（审计）事务所核准的上年度财务报告，以及申请借款前一期的财务报告；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三、原有不合理占用的贷款的纠正情况；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四、抵押物、质物清单和有处分权人的同意抵押、质押的证明及保证人拟同意保证的有关证明文件；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五、项目建议书和可行性报告；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六、贷款人认为需要提供的其他有关资料。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 对借款人的信用等级评估：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应当根据借款人的领导者素质、经济实力、资金结构、履约情况、经营效益和发展前景等因素，评定借款人的信用等级。评级可由贷款人独立进行，内部掌握，也可由有权部门批准的评估机构进行。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 贷款调查：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贷款人受理贷款人申请后，应当对借款人的信用等级以及借款的合法性、安全性、盈利性等情况进行调查，核实抵押物、质物、保证人情况，测定贷款的风险度。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 贷款审批：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贷款人应当建立审贷分离、分级审批的贷款管理制度。审查人员应当对调查人员提供的资料进行核实、评定，复测贷款风险度，提出意见，按规定权限报批。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 签订借款合同：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所有贷款应当由贷款人与借款人签订借款合同。借款合同应当约定借款种类，借款用途、金额、利率，借款期限，还款方式，借、贷双方的权利、义务，违约责任和双方认为需要约定的其他事项。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保证贷款应当由保证人与贷款人签订保证合同，或保证人在借款合同上载明与贷款人协商一致的保证条款，加盖保证人的法人公章，并由保证人的法定代表人或其授权代理人签署姓名。抵押贷款、质押贷款应当由抵押人、出质人与贷款人签订抵押合同、质押合同，需要办理登记的，应依法办理登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第三十条 贷款发放：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贷款人要按借款合同规定按期发放贷款。贷款人不按合同约定按期发放贷款的，应偿还违约金。借款人不按合同约定用款的，应偿付违约金。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第三十一条 贷后检查：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贷款发放后，贷款人应当对借款人执行借款合同情况及借款人的经营情况进行追踪调查和检查。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第三十二条 贷款归还：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借款人应当按照借款合同规定按时足额归还贷款本息。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贷款人在短期贷款到期１个星期之前、中长期贷款到期１个月之前，应当向借款人发送还本付息通知单；借款人应当及时筹备资金，按时还本付息。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贷款人对逾期的贷款要及时发出催收通知单，做好逾期贷款本息的催收工作。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贷款人对不能按借款合同约定期限归还的贷款，应当按规定加罚利息；对不能归还或者不能落实还本付息事宜的，应当督促归还或者依法起诉。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借款人提前归还贷款，应当与贷款人协商。</w:t>
      </w:r>
    </w:p>
    <w:p>
      <w:pPr>
        <w:spacing w:after="156" w:afterLines="50" w:line="360" w:lineRule="auto"/>
        <w:ind w:firstLine="482" w:firstLineChars="200"/>
        <w:outlineLvl w:val="0"/>
        <w:rPr>
          <w:rFonts w:cs="宋体" w:asciiTheme="majorEastAsia" w:hAnsiTheme="majorEastAsia" w:eastAsiaTheme="majorEastAsia"/>
          <w:b/>
          <w:bCs/>
        </w:rPr>
      </w:pPr>
      <w:bookmarkStart w:id="54" w:name="_Toc24831"/>
      <w:r>
        <w:rPr>
          <w:rFonts w:hint="eastAsia" w:cs="宋体" w:asciiTheme="majorEastAsia" w:hAnsiTheme="majorEastAsia" w:eastAsiaTheme="majorEastAsia"/>
          <w:b/>
          <w:bCs/>
        </w:rPr>
        <w:t>第七章不良贷款监管</w:t>
      </w:r>
      <w:bookmarkEnd w:id="5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第三十三条 贷款人应当建立和完善贷款的质量监管制度，对不良贷款进行分类、登记、考核和催收。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第三十四条 不良贷款系指呆帐贷款、呆滞贷款、逾期贷款。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呆帐贷款，系指按财政部有关规定列为呆帐的贷款。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呆滞贷款，系指按财政部有关规定，逾期（含展期后到期）超过规定年限以上仍未归还的贷款，或虽未逾期或逾期不满规定年限但生产经营已终止、项目已停建的贷款（不含呆帐贷款）。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逾期贷款，系指借款合同约定到期（含展期后到期）未归还的贷款（不含呆滞贷款和呆帐贷款）。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第三十五条 不良贷款的登记：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不良贷款由会计、信贷部门提供数据，由稽核部门负责审核并按规定权限认定，贷款人应当按季填报不良贷款情况表。在报上级行的同时，应当报中国人民银行当地分支机构。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第三十六条 不良贷款的考核：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贷款人的呆帐贷款、呆滞贷款、逾期贷款不得超过中国人民银行规定的比例。贷款人应当对所属分支机构下达和考核呆帐贷款、呆滞贷款和逾期贷款的有关指标。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第三十七条 不良贷款的催收和呆帐贷款的冲销：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信贷部门负责不良贷款的催收，稽核部门负责对催收情况的检查。贷款人应当按照国家有关规定提取呆帐准备金，并按照呆帐冲销的条件和程序冲销呆帐贷款。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未经国务院批准，贷款人不得豁免贷款。除国务院批准外，任何单位和个人不得强令贷款人豁免贷款。</w:t>
      </w:r>
    </w:p>
    <w:p>
      <w:pPr>
        <w:spacing w:after="156" w:afterLines="50" w:line="360" w:lineRule="auto"/>
        <w:ind w:firstLine="482" w:firstLineChars="200"/>
        <w:outlineLvl w:val="0"/>
        <w:rPr>
          <w:rFonts w:cs="宋体" w:asciiTheme="majorEastAsia" w:hAnsiTheme="majorEastAsia" w:eastAsiaTheme="majorEastAsia"/>
          <w:b/>
          <w:bCs/>
        </w:rPr>
      </w:pPr>
      <w:bookmarkStart w:id="55" w:name="_Toc10572"/>
      <w:r>
        <w:rPr>
          <w:rFonts w:hint="eastAsia" w:cs="宋体" w:asciiTheme="majorEastAsia" w:hAnsiTheme="majorEastAsia" w:eastAsiaTheme="majorEastAsia"/>
          <w:b/>
          <w:bCs/>
        </w:rPr>
        <w:t>第八章贷款管理责任制</w:t>
      </w:r>
      <w:bookmarkEnd w:id="5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第三十八条 贷款管理实行行长（经理、主任，下同）负责制。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贷款实行分级经营管理。各级行长应当在授权范围内对贷款的发放和收回负全部责任。行长可以授权副行长或贷款管理部门负责审批贷款，副行长或贷款管理部门负责人应当对行长负责。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第三十九条 贷款人各级机构应当建立有行长或副行长（经理、主任，下同）和有关部门负责人参加的贷款审查委员会（小组），负责贷款的审查。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第四十条 建立审贷分离制：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贷款调查评估人员负责贷款调查评估，承担调查失误和评估失准的责任；贷款审查人员负责贷款风险的审查，承担审查失误的责任；贷款发放人员负责贷款的检查和清收，承担检查失误、清收不力的责任。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第四十一条 建立贷款分级审批制：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贷款人应当根据业务量大小、管理水平和贷款风险度确定各级分支机构的审批权限，超过审批权限的贷款，应当报上级审批。各级分支机构应当根据贷款种类、借款人的信用等级和抵押物、质物、保证人等情况确定每一笔贷款的风险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第四十二条 建立和健全信贷工作岗位责任制：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各级贷款管理部门应将贷款管理的每一个环节的管理责任落实到部门、岗位、个人，严格划分各级信贷工作人员的职责。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第四十三条 贷款人对大额借款人建立驻厂信贷员制度。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第四十四条 建立离职审计制：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贷款管理人员在调离原工作岗位时，应当对其在任职期间和权限内所发放的贷款风险情况进行审计。</w:t>
      </w:r>
    </w:p>
    <w:p>
      <w:pPr>
        <w:spacing w:after="156" w:afterLines="50" w:line="360" w:lineRule="auto"/>
        <w:ind w:firstLine="482" w:firstLineChars="200"/>
        <w:outlineLvl w:val="0"/>
        <w:rPr>
          <w:rFonts w:cs="宋体" w:asciiTheme="majorEastAsia" w:hAnsiTheme="majorEastAsia" w:eastAsiaTheme="majorEastAsia"/>
          <w:b/>
          <w:bCs/>
        </w:rPr>
      </w:pPr>
      <w:bookmarkStart w:id="56" w:name="_Toc5980"/>
      <w:r>
        <w:rPr>
          <w:rFonts w:hint="eastAsia" w:cs="宋体" w:asciiTheme="majorEastAsia" w:hAnsiTheme="majorEastAsia" w:eastAsiaTheme="majorEastAsia"/>
          <w:b/>
          <w:bCs/>
        </w:rPr>
        <w:t>第九章贷款债权保全和清偿的管理</w:t>
      </w:r>
      <w:bookmarkEnd w:id="5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第四十五条 借款人不得违反法律规定，借兼并、破产或者股份制改造等途径，逃避银行债务，侵吞信贷资金；不得借承包、租赁等途径逃避贷款人的信贷监管以及偿还贷款本息的责任。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第四十六条 贷款人有权参与处于兼并、破产或股份制改造等过程中的借款人的债务重组，应当要求借款人落实贷款还本付息事宜。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第四十七条 贷款人应当要求实行承包、租赁经营的借款人，在承包、租赁合同中明确落实原贷款债务的偿还责任。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第四十八条 贷款人对实行股份制改造的借款人，应当要求其重新签订借款合同，明确原贷款债务的清偿责任。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对实行整体股份制改造的借款人，应当明确其所欠贷款债务由改造后公司全部承担；对实行部分股份制改造的借款人，应当要求改造后的股份公司按占用借款人的资本金或资产的比例承担原借款人的贷款债务。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第四十九条 贷款人对联营后组成新的企业法人的借款人，应当要求其依据所占用的资本金或资产的比例将贷款债务落实到新的企业法人。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第五十条 贷款人对合并（兼并）的借款人，应当要求其在合并（兼并）前清偿贷款债务或提供相应的担保。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借款人不清偿贷款债务或未提供相应担保，贷款人应当要求合并（兼并）企业或合并后新成立的企业承担归还原借款人贷款的义务，并与之重新签订有关合同或协议。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第五十一条 贷款人对与外商合资（合作）的借款人，应当要求其继续承担合资（合作）前的贷款归还责任，并要求其将所得收益优先归还贷款。借款人用已作为贷款抵押、质押的财产与外商合资（合作）时必须征求贷款人同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第五十二条 贷款人对分立的借款人，应当要求其在分立前清偿贷款债务或提供相应的担保。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借款人不清偿贷款债务或未提供相应担保，贷款人应当要求分立后的各企业，按照分立时所占资本或资产比例或协议，对原借款人所欠贷款承担清偿责任。对设立子公司的借款人，应当要求其子公司按所得资本或资产的比例承担和偿还母公司相应的贷款债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第五十三条 贷款人对产权有偿转让或申请解散的借款人，应当要求其在产权转让或解散前必须落实贷款债务的清偿。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第五十四条 贷款人应当按照有关法律参与借款人破产财产的认定与债权债务的处置，对于破产借款人已设定财产抵押、质押或其他担保的贷款债权，贷款人依法享有优先受偿权；无财产担保的贷款债权按法定程序和比例受偿。</w:t>
      </w:r>
    </w:p>
    <w:p>
      <w:pPr>
        <w:spacing w:after="156" w:afterLines="50" w:line="360" w:lineRule="auto"/>
        <w:ind w:firstLine="482" w:firstLineChars="200"/>
        <w:outlineLvl w:val="0"/>
        <w:rPr>
          <w:rFonts w:cs="宋体" w:asciiTheme="majorEastAsia" w:hAnsiTheme="majorEastAsia" w:eastAsiaTheme="majorEastAsia"/>
          <w:b/>
          <w:bCs/>
        </w:rPr>
      </w:pPr>
      <w:bookmarkStart w:id="57" w:name="_Toc15922"/>
      <w:r>
        <w:rPr>
          <w:rFonts w:hint="eastAsia" w:cs="宋体" w:asciiTheme="majorEastAsia" w:hAnsiTheme="majorEastAsia" w:eastAsiaTheme="majorEastAsia"/>
          <w:b/>
          <w:bCs/>
        </w:rPr>
        <w:t>第十章贷款管理特别规定</w:t>
      </w:r>
      <w:bookmarkEnd w:id="5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第五十五条 建立贷款主办行制度：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借款人应按中国人民银行的规定与其开立基本帐户的贷款人建立贷款主办行关系。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借款人发生企业分立、股份制改造、重大项目建设等涉及信贷资金使用和安全的重大经济活动，事先应当征求主办行的意见。一个借款人只能有一个贷款主办行，主办行应当随基本帐户的变更而变更。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主办行不包资金，但应当按规定有计划地对借款人提供贷款，为借款人提供必要的信息咨询、代理等金融服务。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贷款主办行制度与实施办法，由中国人民银行另行规定。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第五十六条 银团贷款应当确定一个贷款人为牵头行，并签订银团贷款协议，明确各贷款人的权利和义务，共同评审贷款项目。牵头行应当按协议确定的比例监督贷款的偿还。银团贷款管理办法由中国人民银行另行规定。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第五十七条 特定贷款管理：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国有独资商业银行应当按国务院规定发放和管理特定贷款。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特定贷款管理办法另行规定。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第五十八条 非银行金融机构贷款的种类、对象、范围，应当符合中国人民银行规定。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第五十九条 贷款人发放异地贷款，或者接受异地存款，应当报中国人民银行当地分支机构备案。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第六十条 信贷资金不得用于财政支出。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第六十一条 各级行政部门和企事业单位、供销合作社等合作经济组织、农村合作基金会和其他基金会，不得经营存贷款等金融业务。企业之间不得违反国家规定办理借贷或者变相借贷融资业务。</w:t>
      </w:r>
    </w:p>
    <w:p>
      <w:pPr>
        <w:spacing w:after="156" w:afterLines="50" w:line="360" w:lineRule="auto"/>
        <w:ind w:firstLine="482" w:firstLineChars="200"/>
        <w:outlineLvl w:val="0"/>
        <w:rPr>
          <w:rFonts w:cs="宋体" w:asciiTheme="majorEastAsia" w:hAnsiTheme="majorEastAsia" w:eastAsiaTheme="majorEastAsia"/>
          <w:b/>
          <w:bCs/>
        </w:rPr>
      </w:pPr>
      <w:bookmarkStart w:id="58" w:name="_Toc5386"/>
      <w:r>
        <w:rPr>
          <w:rFonts w:hint="eastAsia" w:cs="宋体" w:asciiTheme="majorEastAsia" w:hAnsiTheme="majorEastAsia" w:eastAsiaTheme="majorEastAsia"/>
          <w:b/>
          <w:bCs/>
        </w:rPr>
        <w:t>第十一章罚则</w:t>
      </w:r>
      <w:bookmarkEnd w:id="58"/>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第六十二条 贷款人违反资产负债比例管理有关规定发放贷款的，应当依照《中华人民共和国商业银行法》第七十五条，由中国人民银行责令改正，处以罚款，有违法所得的没收违法所得，并且应当依照第七十六条对直接负责的主管人员和其他直接责任人员给予处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第六十三条 贷款人违反规定向关系人发放信用贷款或者发放担保贷款的条件优于其他借款人同类贷款条件的，应当依照《中华人民共和国商业银行法》第七十四条处罚，并且应当依照第七十六条对有关直接责任人员给予处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第六十四条 贷款人的工作人员对单位或者个人强令其发放贷款或者提供担保未予拒绝的，应当依照《中华人民共和国商业银行法》第八十五条给予纪律处分，造成损失的应当承担相应的赔偿责任。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第六十五条 贷款人的有关责任人员违反本通则有关规定，应当给予纪律处分和罚款；情节严重或屡次违反的，应当调离工作岗位，取消任职资格；造成严重经济损失或者构成其他经济犯罪的，应当依照有关法律规定追究刑事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第六十六条 贷款人有下列情形之一，由中国人民银行责令改正；逾期不改正的，中国人民银行可以处以５千元以上１万元以下罚款：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一、没有公布所经营贷款的种类、期限、利率的；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二、没有公开贷款条件和发放贷款时要审查的内容的；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三、没有在规定期限内答复借款人贷款申请的。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第六十七条 贷款人有下列情形之一，由中国人民银行责令改正；有违法所得的，没收违法所得，并处以违法所得１倍以上３倍以下罚款；没有违法所得的，处以五万元以上三十万元以下罚款；构成犯罪的，依法追究刑事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一、贷款人违反规定代垫委托贷款资金的；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二、未经中国人民银行批准，对自然人发放外币贷款的；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三、贷款人违反中国人民银行规定，对自营贷款或者特定贷款在计收利息之外收取其他任何费用的，或者对委托贷款在计收手续费之外收取其他任何费用的。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第六十八条 任何单位和个人强令银行发放贷款或者提供担保的，应当依照《中华人民共和国商业银行法》第八十五条，对直接负责的主管人员和其他直接责任人员或者个人给予纪律处分；造成经济损失的，承担全部或者部分赔偿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第六十九条 借款人采取欺诈手段骗取贷款，构成犯罪的，应当依照《中华人民共和国商业银行法》第八十条等法律规定处以罚款并追究刑事责任。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第七十条 借款人违反本通则第九章第四十二条规定，蓄意通过兼并、破产或者股份制改造等途径侵吞信贷资金的，应当依据有关法律规定承担相应部分赔偿责任并处以罚款；造成贷款人重大经济损失的，应当依照有关法律规定追究直接责任人员的刑事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借款人违反本通则第九章其他条款规定，致使贷款债务落空，由贷款人停止发放新贷款，并提前收回原发放的贷款。造成信贷资产损失的，借款人及其主管人员或其他个人，应当承担部分或全部赔偿责任。在未履行赔偿责任之前，其他任何贷款人不得对其发放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第七十一条 借款人有下列情形之一，由贷款人对其部分或全部贷款加收利息；情节特别严重的，由贷款人停止支付借款人尚未使用的贷款，并提前收回部分或全部贷款：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一、不按借款合同规定用途使用贷款的。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二、用贷款进行股本权益性投资的。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三、用贷款在有价证券、期货等方面从事投机经营的。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四、未依法取得经营房地产资格的借款人用贷款经营房地产业务的；依法取得经营房地产资格的借款人，用贷款从事房地产投机的。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五、不按借款合同规定清偿贷款本息的。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六、套取贷款相互借贷牟取非法收入的。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第七十二条 借款人有下列情形之一，由贷款人责令改正。情节特别严重或逾期不改正的，由贷款人停止支付借款人尚未使用的贷款，并提前收回部分或全部贷款：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一、向贷款人提供虚假或者隐瞒重要事实的资产负债表、损益表等资料的；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二、不如实向贷款人提供所有开户行、帐号及存贷款余额等资料的；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三、拒绝接受贷款人对其使用信贷资金情况和有关生产经营、财务活动监督的。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第七十三条 行政部门、企事业单位、股份合作经济组织、供销合作社、农村合作基金会和其他基金会擅自发放贷款的；企业之间擅自办理借贷或者变相借贷的，由中国人民银行对出借方按违规收入处以１倍以上至５倍以下罚款，并由中国人民银行予以取缔。</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第七十四条 当事人对中国人民银行处罚决定不服的，可按《中国人民银行行政复议办法（试行）》的规定申请复议，复议期间仍按原处罚执行。</w:t>
      </w:r>
    </w:p>
    <w:p>
      <w:pPr>
        <w:spacing w:after="156" w:afterLines="50" w:line="360" w:lineRule="auto"/>
        <w:ind w:firstLine="482" w:firstLineChars="200"/>
        <w:outlineLvl w:val="0"/>
        <w:rPr>
          <w:rFonts w:cs="宋体" w:asciiTheme="majorEastAsia" w:hAnsiTheme="majorEastAsia" w:eastAsiaTheme="majorEastAsia"/>
          <w:b/>
          <w:bCs/>
        </w:rPr>
      </w:pPr>
      <w:bookmarkStart w:id="59" w:name="_Toc30669"/>
      <w:r>
        <w:rPr>
          <w:rFonts w:hint="eastAsia" w:cs="宋体" w:asciiTheme="majorEastAsia" w:hAnsiTheme="majorEastAsia" w:eastAsiaTheme="majorEastAsia"/>
          <w:b/>
          <w:bCs/>
        </w:rPr>
        <w:t>第十二章附则</w:t>
      </w:r>
      <w:bookmarkEnd w:id="59"/>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第七十五条 国家政策性银行、外资金融机构（含外资、中外合资、外资金融机构的分支机构等）的贷款管理办法，由中国人民银行另行制定。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第七十六条 有关外国政府贷款、出口信贷、外商贴息贷款、出口信贷项下的对外担保以及与上述贷款配套的国际商业贷款的管理办法，由中国人民银行另行制定。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第七十七条 贷款人可根据本通则制定实施细则，报中国人民银行备案。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第七十八条 本通则自实施之日起，中国人民银行和各贷款人在此以前制定的各种规定，与本通则有抵触者，以本通则为准。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第七十九条 本通则由中国人民银行负责解释。</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第八十条 本通则自一九九六年八月一日起施行。</w:t>
      </w:r>
    </w:p>
    <w:p>
      <w:pPr>
        <w:pStyle w:val="2"/>
        <w:numPr>
          <w:ilvl w:val="0"/>
          <w:numId w:val="0"/>
        </w:numPr>
        <w:ind w:left="922" w:leftChars="0" w:hanging="440" w:firstLineChars="0"/>
      </w:pPr>
      <w:bookmarkStart w:id="60" w:name="_Toc5659"/>
      <w:r>
        <w:rPr>
          <w:rFonts w:cs="宋体" w:asciiTheme="majorEastAsia" w:hAnsiTheme="majorEastAsia" w:eastAsiaTheme="majorEastAsia"/>
          <w:b/>
          <w:bCs/>
          <w:sz w:val="24"/>
          <w:szCs w:val="24"/>
          <w:lang w:val="en-US" w:eastAsia="zh-CN" w:bidi="ar-SA"/>
        </w:rPr>
        <w:t>12.</w:t>
      </w:r>
      <w:r>
        <w:rPr>
          <w:rFonts w:hint="eastAsia"/>
        </w:rPr>
        <w:t>《商业银行授权、授信管理暂行办法》</w:t>
      </w:r>
      <w:bookmarkEnd w:id="6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发文机构：中国人民银行文号：银发〔1996〕403号</w:t>
      </w:r>
    </w:p>
    <w:p>
      <w:pPr>
        <w:spacing w:after="156" w:afterLines="50" w:line="360" w:lineRule="auto"/>
        <w:ind w:firstLine="482" w:firstLineChars="200"/>
        <w:outlineLvl w:val="0"/>
        <w:rPr>
          <w:rFonts w:cs="宋体" w:asciiTheme="majorEastAsia" w:hAnsiTheme="majorEastAsia" w:eastAsiaTheme="majorEastAsia"/>
          <w:b/>
          <w:bCs/>
        </w:rPr>
      </w:pPr>
      <w:bookmarkStart w:id="61" w:name="_Toc17570"/>
      <w:r>
        <w:rPr>
          <w:rFonts w:hint="eastAsia" w:cs="宋体" w:asciiTheme="majorEastAsia" w:hAnsiTheme="majorEastAsia" w:eastAsiaTheme="majorEastAsia"/>
          <w:b/>
          <w:bCs/>
        </w:rPr>
        <w:t>第一章总则</w:t>
      </w:r>
      <w:bookmarkEnd w:id="61"/>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保障我国商业银行有效实行一级法人体制，强化商业银行的统一管理与内部控制，增强商业银行防范和控制风险的能力，保护社会公众和商业银行自身的合法权益，根据《中华人民共和国民法通则》、《中华人民共和国商业银行法》和《中华人民共和国经济合同法》等有关法律法规，制定本办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商业银行实行一级法人体制，必须建立法人授权管理制度。商业银行应在法定经营范围内对有关业务职能部门、分支机构及关键业务岗位进行授权。商业银行业务职能部门和分支机构以及关键业务岗位应在授予的权限范围内开展业务活动，严禁越权从事业务活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商业银行应根据国家货币信贷政策、各地区金融风险及客户信用状况，规定对各地区及客户的最高授信额度。商业银行各级业务职能部门及分支机构必须在规定的授信额度内对各地区及客户进行授信。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本办法适用于所有在中华人民共和国境内批准设立、具有独立法人地位的中资商业银行，包括城市合作银行和农村合作银行。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本办法所称授权，是指商业银行对其所属业务职能部门、分支机构和关键业务岗位开展业务权限的具体规定。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本办法所称授信，是指商业银行对其业务职能部门和分支机构所辖服务区及其客户所规定的内部控制信用高限额度。具体范围包括贷款、贴现、承兑和担保。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本办法所称授权人为商业银行总行。受权人为商业银行业务职能部门和商业银行分支机构。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本办法所称授信人为商业银行业务职能部门及分支机构。受信人为商业银行业务职能部门和分支机构所辖服务区及其客户。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商业银行对其业务职能部门和分支机构授权应遵循以下原则：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（一）应在法定经营范围内，对其业务职能部门和分支机构实行逐级有限授权。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（二）应根据各业务职能部门和分支机构的经营管理水平、风险控制能力、主要负责人业绩等，实行区别授权。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（三）应根据各业务职能部门和分支机构的经营管理业绩、风险状况、授权制度执行情况及订负责人任职情况，及时调整授权。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（四）业务职能部门和分支机构超越授权，应视越权行为性质和所造成的经济损失，追究主要负责人及直接责任人相应的责任。要实现权责一致。主要负责人离开现职时，必须要有上级部门做出的离任审计报告。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商业银行对其业务职能部门和分支机构所辖服务区及其客户授信，应遵循以下原则：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（一）应根据不同地区的经济发展水平、经济和金融管理能力、信贷资金占用和使用情况、金融风险状况等因素，实行区别授信。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（二）应根据不同客户的经营管理水平、资产负债比例情况，贷款偿还能力等因素，确定不同的授信额度。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（三）应根据各地区的金融风险和客户的信用变化情况，及时调整对各地区和客户的授信额度。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应在确定的授信额度内，根据当地及客户的实际资金需要、还款能力、信贷政策和银行提供贷款的能力，具体确定每笔贷款的额度和实际贷款总额。授信额度不是计划贷款额度，也不是分配的贷款规模，而是商业银行为控制地区和客户风险所实施的内部控制贷款额度。</w:t>
      </w:r>
    </w:p>
    <w:p>
      <w:pPr>
        <w:spacing w:after="156" w:afterLines="50" w:line="360" w:lineRule="auto"/>
        <w:ind w:firstLine="482" w:firstLineChars="200"/>
        <w:outlineLvl w:val="0"/>
        <w:rPr>
          <w:rFonts w:cs="宋体" w:asciiTheme="majorEastAsia" w:hAnsiTheme="majorEastAsia" w:eastAsiaTheme="majorEastAsia"/>
          <w:b/>
          <w:bCs/>
        </w:rPr>
      </w:pPr>
      <w:bookmarkStart w:id="62" w:name="_Toc17711"/>
      <w:r>
        <w:rPr>
          <w:rFonts w:hint="eastAsia" w:cs="宋体" w:asciiTheme="majorEastAsia" w:hAnsiTheme="majorEastAsia" w:eastAsiaTheme="majorEastAsia"/>
          <w:b/>
          <w:bCs/>
        </w:rPr>
        <w:t>第二章授权、授信的方式</w:t>
      </w:r>
      <w:bookmarkEnd w:id="6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商业银行授权、授信分为基本授权、授信和特别授权、授信两种方式。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基本授权是指对法定经营范围内的常规业务经营所规定的权限。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特别授权是指对法定经营范围内的特殊业务包括创新业务、特殊融资项目以及超过基本授权范围的业务所规定的权限。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基本授信是指商业银行根据国家信贷政策和每个地区、客户的基本情况所确定的信用额度。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特别授信是指商业银行根据国家政策、市场情况变化及客户特殊需要，对特殊融资项目及超过基本授信额度所给予的授信。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商业银行的授权分为直接授权和转授权两个层次。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直接授权是指商业银行总行对总行有关业务职能部门和管辖分行的授权。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转授权是指管辖分行在总行授权权限内对本行有关业务职能处室（部门）和所辖分支行的授权。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商业银行的授权不得超过中国人民银行核准的业务经营范围，转授权不得大于原授权。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商业银行的授权、授信，应有书面形式的授权书和授信书。授权人与受权人应当在授权书上签字和盖章。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授权书应包括以下内容：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（一）授权人全称和法定代表人姓名；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（二）受权人全称和主要负责人姓名；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（三）授权范围；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（四）授权期限；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（五）对限制越权的规定及授权人认为需要规定的其他内容。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前款规定适用于转授权书。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授信书应包括以下内容：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（一）授信人全称；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（二）受信人全称；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（三）授信的类别及期限；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（四）对限制超额授信的规定及授信人认为需要规定的其他内容。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商业银行的授权书和授信书应报中国人民银行同级管辖行备案。涉及外汇业务的授权书和授信书，应报外汇管理局同级管辖局备案，转授权还应同时报商业银行总行备案。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商业银行业务职能部门和各级分支机构与客户签订业务合同时，须向其出示授权书或授信书，双方应按授权书和授信书规定的授权、授信范围签订合同。</w:t>
      </w:r>
    </w:p>
    <w:p>
      <w:pPr>
        <w:spacing w:after="156" w:afterLines="50" w:line="360" w:lineRule="auto"/>
        <w:ind w:firstLine="482" w:firstLineChars="200"/>
        <w:outlineLvl w:val="0"/>
        <w:rPr>
          <w:rFonts w:cs="宋体" w:asciiTheme="majorEastAsia" w:hAnsiTheme="majorEastAsia" w:eastAsiaTheme="majorEastAsia"/>
          <w:b/>
          <w:bCs/>
        </w:rPr>
      </w:pPr>
      <w:bookmarkStart w:id="63" w:name="_Toc26065"/>
      <w:r>
        <w:rPr>
          <w:rFonts w:hint="eastAsia" w:cs="宋体" w:asciiTheme="majorEastAsia" w:hAnsiTheme="majorEastAsia" w:eastAsiaTheme="majorEastAsia"/>
          <w:b/>
          <w:bCs/>
        </w:rPr>
        <w:t>第三章授权、授信的范围</w:t>
      </w:r>
      <w:bookmarkEnd w:id="6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商业银行应根据总则中所确定的原则，具体规定授权、授信的范围。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基本授权的范围包括：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（一）营运资金的经营权限；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（二）同业资金融通权限；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（三）单笔贷款（贴现）及贷款总额审批权限；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（四）对单个客户的贷款（贴现）额度审批权限；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（五）单笔承兑和承兑总额审批权限；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（六）单笔担保和担保总额审批权限；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（七）签发单笔信用证和签发信用证总额审批权限；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（八）现金支付审批权限；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（九）证券买卖权限；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（十）外汇买卖权限；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（十一）信用卡业务审批权限；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（十二）辖区内资金调度权限；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（十三）利率浮动权限；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（十四）经济纠纷处理权限；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（十五）其他业务权限。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特别授权的范围包括：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（一）业务创新权限；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（二）特殊项目融资权限；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（三）超出基本授权的权限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基本授信的范围应包括：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（一）全行对各个地区的最高授信额度；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（二）全行对单个客户的最高授信额度；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（三）单个分支机构对所辖服务区的最高授信额度；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（四）单个营业部门和分支机构对单个客户的最高授信额度；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（五）对单个客户分别以不同方式（贷款、贴现、担保、承兑等）授信的额度。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 各商业银行应建立对客户授信的报告、统计、监督制度，各行不同业务部门和分支机构对同一地区及同一客户的授信额度之和，不得超过全行对该地区及客户的最高授信额度。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 特别授信范围包括：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（一）因地区、客户情况的变化需要增加的授信；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（二）因国家货币信贷政策和市场的变化，超过基本授信所追加的授信；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（三）特殊项目融资的临时授信。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 各商业银行要加强对各地区及客户特别授信的监督管理，其业务职能部门和分支机构在基本授信范围以外的附加授信，必须事先经其总行批准。</w:t>
      </w:r>
    </w:p>
    <w:p>
      <w:pPr>
        <w:spacing w:after="156" w:afterLines="50" w:line="360" w:lineRule="auto"/>
        <w:ind w:firstLine="482" w:firstLineChars="200"/>
        <w:outlineLvl w:val="0"/>
        <w:rPr>
          <w:rFonts w:cs="宋体" w:asciiTheme="majorEastAsia" w:hAnsiTheme="majorEastAsia" w:eastAsiaTheme="majorEastAsia"/>
          <w:b/>
          <w:bCs/>
        </w:rPr>
      </w:pPr>
      <w:bookmarkStart w:id="64" w:name="_Toc2299"/>
      <w:r>
        <w:rPr>
          <w:rFonts w:hint="eastAsia" w:cs="宋体" w:asciiTheme="majorEastAsia" w:hAnsiTheme="majorEastAsia" w:eastAsiaTheme="majorEastAsia"/>
          <w:b/>
          <w:bCs/>
        </w:rPr>
        <w:t>第四章授权、授信的期限、调整与终止</w:t>
      </w:r>
      <w:bookmarkEnd w:id="6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 商业银行总行应根据总则中确定的授权、授信原则，建立对业务职能部门、分支机构和各地区及客户进行综合考核的指标体系，根据其有关指标考核情况，及时调整授权。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 商业银行授权和授信的有效期均为１年。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 如发生下列情况之一，授权人应调整以至撤销授权：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（一）授权人发生重大越权行为；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（二）受权人失职造成重大经营风险；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（三）经营环境发生重大变化；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（四）内部机构和管理制度发生重大调整；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（五）其他不可预料的情况。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前款规定适用于转授权。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 如发生下列情况之一，原授权应终止：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（一）实行新的授权制度或办法；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（二）受权权限被撤销；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（三）受权发生分立、合并或被撤销；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（四）授权期限已满。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第三十条 在授信实施过程中，如发生下列情况，商业银行应调整直至取消授信额度：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（一）受信地区发生或潜伏重大金融风险；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（二）受信企业发生重大经营困难和风险；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（三）市场发生重大变化；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（四）货币政策发生重大调整；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（五）企业机制发生重大变化（包括分立、合并、终止等）；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（六）企业还款信用下降，贷款风险增加；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（七）其他应改变授信额度的情况。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第三十一条 在授权、授信有效期内，商业银行对授权、授信进行调整或授权、授信终止，应及时报中国人民银行备案，并同时将新的授权书和或授信书报中国人民银行备案。涉及外汇业务授权、授信的调整或终止时，应同时报外汇管理局同级机构备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第三十二条 商业银行法定代表人变更或任免分支机构主要负责人时，如果授权范围等内容不变，原授权书及转授权书继续有效。</w:t>
      </w:r>
    </w:p>
    <w:p>
      <w:pPr>
        <w:spacing w:after="156" w:afterLines="50" w:line="360" w:lineRule="auto"/>
        <w:ind w:firstLine="480" w:firstLineChars="200"/>
        <w:outlineLvl w:val="0"/>
        <w:rPr>
          <w:rFonts w:cs="宋体" w:asciiTheme="majorEastAsia" w:hAnsiTheme="majorEastAsia" w:eastAsiaTheme="majorEastAsia"/>
        </w:rPr>
      </w:pPr>
      <w:bookmarkStart w:id="65" w:name="_Toc3194"/>
      <w:r>
        <w:rPr>
          <w:rFonts w:hint="eastAsia" w:cs="宋体" w:asciiTheme="majorEastAsia" w:hAnsiTheme="majorEastAsia" w:eastAsiaTheme="majorEastAsia"/>
        </w:rPr>
        <w:t>第五章授权、授信的监督管理</w:t>
      </w:r>
      <w:bookmarkEnd w:id="6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第三十三条 中国人民银行应监督各商业银行制定和实施授权、授信制度的情况，中国人民银行稽核监察部门要加强对商业银行执行授权、授信制度的检查。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第三十四条 商业银行的法律部门，应负责本行授权、授信方面的法律事务。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第三十五条 商业银行每年必须至少一次对其内部授权执行情况进行全面检查，并将检查结果报中国人民银行。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第三十六条 商业银行稽核监察部门要把检查监督业务职能部门和分支机构执行授权、授信制度作为一项重要职责，并有权对调整授权提出意见。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第三十七条 商业银行业务职能部门和分支机构对其总行，商业银行对中国人民银行管辖行，每个季度应报送授权、授信实施及风险情况的报告。临时发生超越授权和重大风险情况，应及时快速上报。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第三十八条 商业银行制定授权、授信制度应与其他内部管理制度相协调，形成权责一致、相互制约、相互补充的内部控制制度。</w:t>
      </w:r>
    </w:p>
    <w:p>
      <w:pPr>
        <w:spacing w:after="156" w:afterLines="50" w:line="360" w:lineRule="auto"/>
        <w:ind w:firstLine="482" w:firstLineChars="200"/>
        <w:outlineLvl w:val="0"/>
        <w:rPr>
          <w:rFonts w:cs="宋体" w:asciiTheme="majorEastAsia" w:hAnsiTheme="majorEastAsia" w:eastAsiaTheme="majorEastAsia"/>
          <w:b/>
          <w:bCs/>
        </w:rPr>
      </w:pPr>
      <w:bookmarkStart w:id="66" w:name="_Toc1655"/>
      <w:r>
        <w:rPr>
          <w:rFonts w:hint="eastAsia" w:cs="宋体" w:asciiTheme="majorEastAsia" w:hAnsiTheme="majorEastAsia" w:eastAsiaTheme="majorEastAsia"/>
          <w:b/>
          <w:bCs/>
        </w:rPr>
        <w:t>第六章罚则</w:t>
      </w:r>
      <w:bookmarkEnd w:id="6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第三十九条 商业银行违反本办法有关规定，中国人民银行应依据《中华人民共和国行政处罚法》、《中华人民共和国商业银行法》、《全国人民代表大会常务委员会关于惩治破坏金融秩序犯罪的决定》和《金融机构高级管理人员任职资格管理暂行规定》等有关法律、法规及规章，追究其法定代表人、主要负责人及直接责任人的行政责任。构成犯罪的，依法追究其刑事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第四十条 中国人民银行或中国人民银行督促商业银行，对授权人超越授权范围从事业务经营的行为，视越权行为的性质和造成的经济损失，对其主要负责人和直接责任人予以下列处分：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（一）警告；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（二）通报批评；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（三）限期纠正或补救；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（四）停办或部分停办业务；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（五）调整或取消授权；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（六）取消其主要负责人和直接责任人１年至终生在金融机构的任职资格。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第四十一条 如授权不明确，受权人未经请示擅自开展业务活动，造成经济损失，应追究主要负责人和直接责任人的行政与经济责任。构成犯罪的，应追究有关人员刑事责任。</w:t>
      </w:r>
    </w:p>
    <w:p>
      <w:pPr>
        <w:spacing w:after="156" w:afterLines="50" w:line="360" w:lineRule="auto"/>
        <w:ind w:firstLine="482" w:firstLineChars="200"/>
        <w:outlineLvl w:val="0"/>
        <w:rPr>
          <w:rFonts w:cs="宋体" w:asciiTheme="majorEastAsia" w:hAnsiTheme="majorEastAsia" w:eastAsiaTheme="majorEastAsia"/>
          <w:b/>
          <w:bCs/>
        </w:rPr>
      </w:pPr>
      <w:bookmarkStart w:id="67" w:name="_Toc26814"/>
      <w:r>
        <w:rPr>
          <w:rFonts w:hint="eastAsia" w:cs="宋体" w:asciiTheme="majorEastAsia" w:hAnsiTheme="majorEastAsia" w:eastAsiaTheme="majorEastAsia"/>
          <w:b/>
          <w:bCs/>
        </w:rPr>
        <w:t>第七章附则</w:t>
      </w:r>
      <w:bookmarkEnd w:id="6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第四十二条 商业银行应根据本办法及中国人民银行的有关规定，制定本行的授权、授信管理办法。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第四十三条 商业银行对其境外分支机构，应根据我国和驻在国（地区）的有关法律、法规和国际惯例另行授权，并报中国人民银行总行有关监管部门备案。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第四十四条 商业银行各项规章制度中有关授权、授信规定与本办法相抵触的，以本办法为准。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第四十五条 本办法由中国人民银行负责解释。</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第四十六条 本办法自颁布之日起实施。</w:t>
      </w:r>
      <w:r>
        <w:rPr>
          <w:rFonts w:hint="eastAsia" w:cs="宋体" w:asciiTheme="majorEastAsia" w:hAnsiTheme="majorEastAsia" w:eastAsiaTheme="majorEastAsia"/>
        </w:rPr>
        <w:tab/>
      </w:r>
    </w:p>
    <w:p>
      <w:pPr>
        <w:pStyle w:val="2"/>
        <w:numPr>
          <w:ilvl w:val="0"/>
          <w:numId w:val="0"/>
        </w:numPr>
        <w:ind w:left="922" w:leftChars="0" w:hanging="440" w:firstLineChars="0"/>
      </w:pPr>
      <w:bookmarkStart w:id="68" w:name="_Toc30754"/>
      <w:r>
        <w:rPr>
          <w:rFonts w:cs="宋体" w:asciiTheme="majorEastAsia" w:hAnsiTheme="majorEastAsia" w:eastAsiaTheme="majorEastAsia"/>
          <w:b/>
          <w:bCs/>
          <w:sz w:val="24"/>
          <w:szCs w:val="24"/>
          <w:lang w:val="en-US" w:eastAsia="zh-CN" w:bidi="ar-SA"/>
        </w:rPr>
        <w:t>13.</w:t>
      </w:r>
      <w:r>
        <w:rPr>
          <w:rFonts w:hint="eastAsia"/>
        </w:rPr>
        <w:t>《固定资产贷款管理暂行办法》</w:t>
      </w:r>
      <w:bookmarkEnd w:id="68"/>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发文机构：国家金融监督管理总局</w:t>
      </w:r>
      <w:r>
        <w:rPr>
          <w:rFonts w:hint="eastAsia" w:cs="宋体" w:asciiTheme="majorEastAsia" w:hAnsiTheme="majorEastAsia" w:eastAsiaTheme="majorEastAsia"/>
        </w:rPr>
        <w:tab/>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文号：国家金融监督管理总局令2024年第1号</w:t>
      </w:r>
    </w:p>
    <w:p>
      <w:pPr>
        <w:spacing w:after="156" w:afterLines="50" w:line="360" w:lineRule="auto"/>
        <w:ind w:firstLine="482" w:firstLineChars="200"/>
        <w:outlineLvl w:val="0"/>
        <w:rPr>
          <w:rFonts w:hint="eastAsia" w:cs="宋体" w:asciiTheme="majorEastAsia" w:hAnsiTheme="majorEastAsia" w:eastAsiaTheme="majorEastAsia"/>
          <w:b/>
          <w:bCs/>
        </w:rPr>
      </w:pPr>
      <w:bookmarkStart w:id="69" w:name="_Toc29309"/>
      <w:r>
        <w:rPr>
          <w:rFonts w:hint="eastAsia" w:cs="宋体" w:asciiTheme="majorEastAsia" w:hAnsiTheme="majorEastAsia" w:eastAsiaTheme="majorEastAsia"/>
          <w:b/>
          <w:bCs/>
        </w:rPr>
        <w:t>第一章 总 则</w:t>
      </w:r>
      <w:bookmarkEnd w:id="69"/>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一条 为规范银行业金融机构固定资产贷款业务经营行为，加强固定资产贷款审慎经营管理，促进固定资产贷款业务健康发展，依据《中华人民共和国银行业监督管理法》《中华人民共和国商业银行法》等法律法规，制定本办法。</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第二条 本办法所称银行业金融机构（以下简称贷款人），是指在中华人民共和国境内设立的商业银行、农村合作银行、农村信用合作社等吸收公众存款的金融机构。</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第三条 本办法所称固定资产贷款，是指贷款人向法人或非法人组织（按照国家有关规定不得办理银行贷款的主体除外）发放的，用于借款人固定资产投资的本外币贷款。</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本办法所称固定资产投资，是指借款人在经营过程中对于固定资产的建设、购置、改造等行为。</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第四条 本办法所称项目融资，是指符合以下特征的固定资产贷款：</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（一）贷款用途通常是用于建造一个或一组大型生产装置、基础设施、房地产项目或其他项目，包括对在建或已建项目的再融资；</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（二）借款人通常是为建设、经营该项目或为该项目融资而专门组建的企事业法人，包括主要从事该项目建设、经营或融资的既有企事业法人；</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（三）还款资金来源主要依赖该项目产生的销售收入、补贴收入或其他收入，一般不具备其他还款来源。</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第五条 贷款人开展固定资产贷款业务，应当遵循依法合规、审慎经营、平等自愿、公平诚信的原则。</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六条 贷款人应完善内部控制机制，实行贷款全流程管理，全面了解客户和项目信息，建立固定资产贷款风险管理制度和有效的岗位制衡机制，将贷款管理各环节的责任落实到具体部门和岗位，并建立各岗位的考核和问责机制。</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第七条 贷款人应将固定资产贷款纳入对借款人及借款人所在集团客户的统一授信管理，并根据风险管理实际需要，建立风险限额管理制度。</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第八条 贷款人应与借款人约定明确、合法的贷款用途，并按照约定检查、监督贷款的使用情况，防止贷款被挪用。</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第九条 固定资产贷款期限一般不超过十年。确需办理期限超过十年贷款的，应由贷款人总行负责审批，或根据实际情况审慎授权相应层级负责审批。</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第十条 固定资产贷款利率应当遵循利率市场化原则，由借贷双方在遵守国家有关规定的前提下协商确定。</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第十一条 国家金融监督管理总局及其派出机构依法对固定资产贷款业务实施监督管理。</w:t>
      </w:r>
    </w:p>
    <w:p>
      <w:pPr>
        <w:spacing w:after="156" w:afterLines="50" w:line="360" w:lineRule="auto"/>
        <w:ind w:firstLine="482" w:firstLineChars="200"/>
        <w:outlineLvl w:val="0"/>
        <w:rPr>
          <w:rFonts w:hint="eastAsia" w:cs="宋体" w:asciiTheme="majorEastAsia" w:hAnsiTheme="majorEastAsia" w:eastAsiaTheme="majorEastAsia"/>
          <w:b/>
          <w:bCs/>
        </w:rPr>
      </w:pPr>
      <w:bookmarkStart w:id="70" w:name="_Toc26701"/>
      <w:r>
        <w:rPr>
          <w:rFonts w:hint="eastAsia" w:cs="宋体" w:asciiTheme="majorEastAsia" w:hAnsiTheme="majorEastAsia" w:eastAsiaTheme="majorEastAsia"/>
          <w:b/>
          <w:bCs/>
        </w:rPr>
        <w:t>第二章 受理与调查</w:t>
      </w:r>
      <w:bookmarkEnd w:id="70"/>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第十二条 固定资产贷款申请应具备以下条件：</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（一）借款人依法经市场监督管理部门或主管部门核准登记；</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（二）借款人信用状况良好；</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（三）借款人为新设项目法人的，其控股股东应有良好的信用状况；</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（四）国家对拟投资项目有投资主体资格和经营资质要求的，符合其要求；</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（五）借款用途及还款来源明确、合法；</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（六）项目符合国家的产业、土地、环保等相关政策，并按规定履行了固定资产投资项目的合法管理程序；</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（七）符合国家有关投资项目资本金制度的规定；</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（八）贷款人要求的其他条件。</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第十三条 贷款人应对借款人提供申请材料的方式和具体内容提出要求，并要求借款人恪守诚实守信原则，承诺所提供材料真实、完整、有效。</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第十四条 贷款人应落实具体的责任部门和岗位，履行尽职调查并形成书面报告。尽职调查的主要内容包括：</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（一）借款人及项目发起人等相关关系人的情况，包括但不限于：股权关系、组织架构、公司治理、内部控制、生产经营、核心主业、资产结构、财务资金状况、融资情况及资信水平等；</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（二）贷款项目的情况，包括但不限于：项目建设内容和可行性，按照有关规定需取得的审批、核准或备案等手续情况，项目资本金等建设资金的来源和可靠性，项目承建方资质水平，环境风险情况等；</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（三）借款人的还款来源情况、重大经营计划、投融资计划及未来预期现金流状况；</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（四）涉及担保的，包括但不限于担保人的担保能力、抵（质）押物（权）的价值等；</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（五）需要调查的其他内容。</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尽职调查人员应当确保尽职调查报告内容的真实性、完整性和有效性。</w:t>
      </w:r>
    </w:p>
    <w:p>
      <w:pPr>
        <w:spacing w:after="156" w:afterLines="50" w:line="360" w:lineRule="auto"/>
        <w:ind w:firstLine="482" w:firstLineChars="200"/>
        <w:outlineLvl w:val="0"/>
        <w:rPr>
          <w:rFonts w:hint="eastAsia" w:cs="宋体" w:asciiTheme="majorEastAsia" w:hAnsiTheme="majorEastAsia" w:eastAsiaTheme="majorEastAsia"/>
          <w:b/>
          <w:bCs/>
        </w:rPr>
      </w:pPr>
      <w:bookmarkStart w:id="71" w:name="_Toc31976"/>
      <w:r>
        <w:rPr>
          <w:rFonts w:hint="eastAsia" w:cs="宋体" w:asciiTheme="majorEastAsia" w:hAnsiTheme="majorEastAsia" w:eastAsiaTheme="majorEastAsia"/>
          <w:b/>
          <w:bCs/>
        </w:rPr>
        <w:t>第三章风险评价与审批</w:t>
      </w:r>
      <w:bookmarkEnd w:id="71"/>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第十五条 贷款人应落实具体的责任部门和岗位，对固定资产贷款进行全面的风险评价，并形成风险评价报告。</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十六条 贷款人应建立完善的固定资产贷款风险评价制度，设置定量或定性的指标和标准，以偿债能力分析为核心，从借款人、项目发起人、项目合规性、项目技术和财务可行性、项目产品市场、项目融资方案、还款来源可靠性、担保、保险等角度进行贷款风险评价，并充分考虑政策变化、市场波动等不确定因素对项目的影响，审慎预测项目的未来收益和现金流。</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贷款人经评价认为固定资产贷款风险可控，办理信用贷款的，应当在风险评价报告中进行充分论证。</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第十七条 贷款人应按照审贷分离、分级审批的原则，规范固定资产贷款审批流程，明确贷款审批权限，确保审批人员按照授权独立审批贷款。</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第十八条 贷款人为股东等关联方办理固定资产贷款的，应严格执行关联交易管理的相关监管规定，发放贷款条件不得优于一般借款人，并在风险评价报告中进行说明。</w:t>
      </w:r>
    </w:p>
    <w:p>
      <w:pPr>
        <w:spacing w:after="156" w:afterLines="50" w:line="360" w:lineRule="auto"/>
        <w:ind w:firstLine="482" w:firstLineChars="200"/>
        <w:outlineLvl w:val="0"/>
        <w:rPr>
          <w:rFonts w:hint="eastAsia" w:cs="宋体" w:asciiTheme="majorEastAsia" w:hAnsiTheme="majorEastAsia" w:eastAsiaTheme="majorEastAsia"/>
          <w:b/>
          <w:bCs/>
        </w:rPr>
      </w:pPr>
      <w:bookmarkStart w:id="72" w:name="_Toc12004"/>
      <w:r>
        <w:rPr>
          <w:rFonts w:hint="eastAsia" w:cs="宋体" w:asciiTheme="majorEastAsia" w:hAnsiTheme="majorEastAsia" w:eastAsiaTheme="majorEastAsia"/>
          <w:b/>
          <w:bCs/>
        </w:rPr>
        <w:t>第四章合同签订</w:t>
      </w:r>
      <w:bookmarkEnd w:id="72"/>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十九条 贷款人应与借款人及其他相关当事人签订书面借款合同等相关协议，需担保的应同时签订担保合同或条款。合同中应详细规定各方当事人的权利、义务及违约责任，避免对重要事项未约定、约定不明或约定无效。</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第二十条 贷款人应在合同中与借款人约定具体的贷款金额、期限、利率、用途、支付、还贷保障及风险处置等要素和有关细节。</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二十一条 贷款人应在合同中与借款人约定提款条件以及贷款资金支付接受贷款人管理和控制等与贷款使用相关的条款，提款条件应包括与贷款同比例的资本金已足额到位、项目实际进度与已投资额相匹配等要求。</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第二十二条 贷款人应在合同中与借款人约定对借款人相关账户实施监控，必要时可约定专门的贷款发放账户和还款账户。</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第二十三条 贷款人应要求借款人在合同中对与贷款相关的重要内容作出承诺，承诺内容包括但不限于：</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（一）贷款项目及其借款事项符合法律法规的要求；</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（二）及时向贷款人提供完整、真实、有效的材料；</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（三）配合贷款人进行贷款支付管理、贷后管理及相关检查；</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（四）进行合并、分立、股权转让，以及进行可能影响其偿债能力的对外投资、对外提供担保、实质性增加债务融资等重大事项前征得贷款人同意；</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（五）发生其他影响其偿债能力的重大不利事项及时通知贷款人。</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二十四条 贷款人应与借款人在合同中约定，借款人出现以下情形之一时，借款人应承担的违约责任，以及贷款人可采取的提前收回贷款、调整贷款支付方式、调整贷款利率、收取罚息、压降授信额度、停止或中止贷款发放等措施，并追究相应法律责任：</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（一）未按约定用途使用贷款的；</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（二）未按约定方式支用贷款资金的；</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（三）未遵守承诺事项的；</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（四）申贷文件信息失真的；</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（五）突破约定的财务指标约束等情形的；</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（六）违反借款合同约定的其他情形的。</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第二十五条 贷款人应在合同中与借款人约定明确的还款安排。贷款人应根据固定资产贷款还款来源情况和项目建设运营周期等因素，合理确定贷款期限和还款方式。</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贷款期限超过一年的，应实行本金分期偿还。贷款人应当根据风险管理要求，并结合借款人经营情况、还款来源情况等，审慎与借款人约定每期还本金额。还本频率原则上不低于每年两次。经贷款人评估认为确需降低还本频率的，还本频率最长可放宽至每年一次。还款资金来源主要依赖项目经营产生的收入还款的，首次还本日期应不晚于项目达到预定可使用状态满一年。</w:t>
      </w:r>
    </w:p>
    <w:p>
      <w:pPr>
        <w:spacing w:after="156" w:afterLines="50" w:line="360" w:lineRule="auto"/>
        <w:ind w:firstLine="482" w:firstLineChars="200"/>
        <w:outlineLvl w:val="0"/>
        <w:rPr>
          <w:rFonts w:hint="eastAsia" w:cs="宋体" w:asciiTheme="majorEastAsia" w:hAnsiTheme="majorEastAsia" w:eastAsiaTheme="majorEastAsia"/>
          <w:b/>
          <w:bCs/>
        </w:rPr>
      </w:pPr>
      <w:bookmarkStart w:id="73" w:name="_Toc5050"/>
      <w:r>
        <w:rPr>
          <w:rFonts w:hint="eastAsia" w:cs="宋体" w:asciiTheme="majorEastAsia" w:hAnsiTheme="majorEastAsia" w:eastAsiaTheme="majorEastAsia"/>
          <w:b/>
          <w:bCs/>
        </w:rPr>
        <w:t>第五章发放与支付</w:t>
      </w:r>
      <w:bookmarkEnd w:id="73"/>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第二十六条 贷款人应设立独立的责任部门或岗位，负责贷款发放和支付审核。</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二十七条 贷款人在发放贷款前应确认借款人满足合同约定的提款条件，并按照合同约定的方式对贷款资金的支付实施管理与控制。贷款人应健全贷款资金支付管控体系，加强金融科技应用，有效监督贷款资金按约定用途使用。</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第二十八条 合同约定专门贷款发放账户的，贷款发放和支付应通过该账户办理。</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第二十九条 贷款人应通过贷款人受托支付或借款人自主支付的方式对贷款资金的支付进行管理与控制。</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贷款人受托支付是指贷款人根据借款人的提款申请和支付委托，将贷款资金支付给符合合同约定用途的借款人交易对象。</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借款人自主支付是指贷款人根据借款人的提款申请将贷款资金发放至借款人账户后，由借款人自主支付给符合合同约定用途的借款人交易对象。</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第三十条 向借款人某一交易对象单笔支付金额超过一千万元人民币的，应采用贷款人受托支付方式。</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三十一条 采用贷款人受托支付的，贷款人应在贷款资金发放前审核借款人相关交易资料是否符合合同约定条件。贷款人审核同意后，将贷款资金通过借款人账户支付给借款人交易对象，并应做好有关细节的认定记录。贷款人在必要时可以要求借款人、独立中介机构和承包商等共同检查固定资产建设进度，并根据出具的、符合合同约定条件的共同签证单，进行贷款支付。</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贷款人原则上应在贷款发放五个工作日内将贷款资金通过借款人账户支付给借款人交易对象。因借款人方面原因无法完成受托支付的，贷款人在与借款人协商一致的情况下，最迟应于十个工作日内完成对外支付。因不可抗力无法完成受托支付的，贷款人应与借款人协商确定合理的支付时限。</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对于贷款资金使用记录良好的借款人，在合同约定的贷款用途范围内，出现合理的紧急用款需求，贷款人经评估认为风险可控的，可适当简化借款人需提供的受托支付事前证明材料和流程。贷款人应于放款后及时完成事后审核，并加强资金用途管理。</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三十二条 采用借款人自主支付的，贷款人应要求借款人定期汇总报告贷款资金支付情况，并通过账户分析、凭证查验、现场调查等方式核查贷款支付是否符合约定用途，以及是否存在以化整为零方式规避受托支付的情形。</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第三十三条 固定资产贷款发放前，贷款人应确认与拟发放贷款同比例的项目资本金足额到位，并与贷款配套使用。</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第三十四条 在贷款发放和支付过程中，借款人出现以下情形的，贷款人应与借款人协商补充贷款发放和支付条件，或根据合同约定变更贷款支付方式、停止或中止贷款资金的发放和支付：</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（一）信用状况下降；</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（二）经营及财务状况明显趋差；</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（三）项目进度落后于资金使用进度；</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（四）贷款资金使用出现异常或规避受托支付；</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（五）其他重大违反合同约定的行为。</w:t>
      </w:r>
    </w:p>
    <w:p>
      <w:pPr>
        <w:spacing w:after="156" w:afterLines="50" w:line="360" w:lineRule="auto"/>
        <w:ind w:firstLine="482" w:firstLineChars="200"/>
        <w:outlineLvl w:val="0"/>
        <w:rPr>
          <w:rFonts w:hint="eastAsia" w:cs="宋体" w:asciiTheme="majorEastAsia" w:hAnsiTheme="majorEastAsia" w:eastAsiaTheme="majorEastAsia"/>
          <w:b/>
          <w:bCs/>
        </w:rPr>
      </w:pPr>
      <w:bookmarkStart w:id="74" w:name="_Toc22089"/>
      <w:r>
        <w:rPr>
          <w:rFonts w:hint="eastAsia" w:cs="宋体" w:asciiTheme="majorEastAsia" w:hAnsiTheme="majorEastAsia" w:eastAsiaTheme="majorEastAsia"/>
          <w:b/>
          <w:bCs/>
        </w:rPr>
        <w:t>第六章贷后管理</w:t>
      </w:r>
      <w:bookmarkEnd w:id="74"/>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第三十五条 贷款人应加强对借款人资金挪用行为的监控，发现借款人挪用贷款资金的，应按照合同约定采取要求借款人整改、提前归还贷款或下调贷款风险分类等相应措施进行管控。</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三十六条 贷款人应定期对借款人和项目发起人的履约情况及信用状况、股权结构重大变动情况、项目的建设和运营情况、宏观经济变化和市场波动情况、贷款担保的变动情况等内容进行检查与分析，建立贷款质量监控制度和贷款风险预警体系。</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出现可能影响贷款安全的不利情形时，贷款人应对贷款风险进行重新评估并采取针对性措施。</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第三十七条 项目实际投资超过原定投资金额，贷款人经重新风险评价和审批决定追加贷款的，应要求项目发起人配套追加不低于项目资本金比例的投资。需提供担保的，贷款人应同时要求追加相应担保。</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第三十八条 贷款人应对抵（质）押物的价值和担保人的担保能力建立贷后动态监测和重估制度。</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第三十九条 贷款人应加强对项目资金滞留账户情况的监控，确保贷款发放与项目的实际进度和资金需求相匹配。</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第四十条 贷款人应对固定资产投资项目的收入现金流以及借款人的整体现金流进行动态监测，对异常情况及时查明原因并采取相应措施。</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第四十一条 合同约定专门还款账户的，贷款人应按约定根据需要对固定资产投资项目或借款人的收入等现金流进入该账户的比例和账户内的资金平均存量提出要求。</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第四十二条 借款人出现违反合同约定情形的，贷款人应及时采取有效措施，必要时应依法追究借款人的违约责任。</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四十三条 借款人申请贷款展期的，贷款人应审慎评估展期原因和后续还款安排的可行性。同意展期的，应根据借款人还款来源等情况，合理确定展期期限，并加强对贷款的后续管理，按照实质风险状况进行风险分类。</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期限一年以内的贷款展期期限累计不得超过原贷款期限；期限超过一年的贷款展期期限累计不得超过原贷款期限的一半。</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第四十四条 贷款人应按照借款合同约定，收回贷款本息。</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对于未按照借款合同约定偿还的贷款，贷款人应采取清收、协议重组、债权转让或核销等措施进行处置。</w:t>
      </w:r>
    </w:p>
    <w:p>
      <w:pPr>
        <w:spacing w:after="156" w:afterLines="50" w:line="360" w:lineRule="auto"/>
        <w:ind w:firstLine="482" w:firstLineChars="200"/>
        <w:outlineLvl w:val="0"/>
        <w:rPr>
          <w:rFonts w:hint="eastAsia" w:cs="宋体" w:asciiTheme="majorEastAsia" w:hAnsiTheme="majorEastAsia" w:eastAsiaTheme="majorEastAsia"/>
          <w:b/>
          <w:bCs/>
        </w:rPr>
      </w:pPr>
      <w:bookmarkStart w:id="75" w:name="_Toc22292"/>
      <w:r>
        <w:rPr>
          <w:rFonts w:hint="eastAsia" w:cs="宋体" w:asciiTheme="majorEastAsia" w:hAnsiTheme="majorEastAsia" w:eastAsiaTheme="majorEastAsia"/>
          <w:b/>
          <w:bCs/>
        </w:rPr>
        <w:t>第七章 项目融资</w:t>
      </w:r>
      <w:bookmarkEnd w:id="75"/>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四十五条 贷款人从事项目融资业务，应当具备对所从事项目的风险识别和管理能力，配备业务开展所需要的专业人员，建立完善的操作流程和风险管理机制。贷款人可以根据需要，委托或者要求借款人委托具备相关资质的独立中介机构为项目提供法律、税务、保险、技术、环保和监理等方面的专业意见或服务。</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四十六条 贷款人从事项目融资业务，应当充分识别和评估融资项目中存在的建设期风险和经营期风险，包括政策风险、筹资风险、完工风险、产品市场风险、超支风险、原材料风险、营运风险、汇率风险、环境风险、社会风险和其他相关风险。</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第四十七条 贷款人应当按照国家关于固定资产投资项目资本金制度的有关规定，综合考虑项目风险水平和自身风险承受能力等因素，合理确定贷款金额。</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第四十八条 贷款人应当根据风险收益匹配原则，综合考虑项目风险、风险缓释措施等因素，与借款人协商确定合理的贷款利率。贷款人可以根据项目融资在不同阶段的风险特征和水平，采用不同的贷款利率。</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四十九条 贷款人原则上应当要求将符合抵质押条件的项目资产和/或项目预期收益等权利为贷款设定担保，并可以根据需要，将项目发起人持有的项目公司股权为贷款设定质押担保。贷款人可根据实际情况与借款人约定为项目投保商业保险。</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贷款人认为可办理项目融资信用贷款的，应当在风险评价时进行审慎论证，确保风险可控，并在风险评价报告中进行充分说明。</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五十条 贷款人应当采取措施有效降低和分散融资项目在建设期和经营期的各类风险。贷款人应当以要求借款人或者通过借款人要求项目相关方签订总承包合同、提供履约保函等方式，最大限度降低建设期风险。贷款人可以要求借款人签订长期供销合同、使用金融衍生工具或者发起人提供资金缺口担保等方式，有效分散经营期风险。</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第五十一条 贷款人可以通过为项目提供财务顾问服务，为项目设计综合金融服务方案，组合运用各种融资工具，拓宽项目资金来源渠道，有效分散风险。</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五十二条 贷款人应当与借款人约定专门的项目收入账户，要求所有项目收入进入约定账户，并按照事先约定的条件和方式对外支付。贷款人应当对项目收入账户进行动态监测，当账户资金流动出现异常时，应当及时查明原因并采取相应措施。</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第五十三条 多家银行业金融机构参与同一项目融资的，原则上应当采用银团贷款方式，避免重复融资、过度融资。采用银团贷款方式的，贷款人应遵守银团贷款相关监管规定。</w:t>
      </w:r>
    </w:p>
    <w:p>
      <w:pPr>
        <w:spacing w:after="156" w:afterLines="50" w:line="360" w:lineRule="auto"/>
        <w:ind w:firstLine="482" w:firstLineChars="200"/>
        <w:outlineLvl w:val="0"/>
        <w:rPr>
          <w:rFonts w:hint="eastAsia" w:cs="宋体" w:asciiTheme="majorEastAsia" w:hAnsiTheme="majorEastAsia" w:eastAsiaTheme="majorEastAsia"/>
          <w:b/>
          <w:bCs/>
        </w:rPr>
      </w:pPr>
      <w:bookmarkStart w:id="76" w:name="_Toc26686"/>
      <w:r>
        <w:rPr>
          <w:rFonts w:hint="eastAsia" w:cs="宋体" w:asciiTheme="majorEastAsia" w:hAnsiTheme="majorEastAsia" w:eastAsiaTheme="majorEastAsia"/>
          <w:b/>
          <w:bCs/>
        </w:rPr>
        <w:t>第八章法律责任</w:t>
      </w:r>
      <w:bookmarkEnd w:id="76"/>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五十四条 贷款人违反本办法规定经营固定资产贷款业务的，国家金融监督管理总局及其派出机构应当责令其限期改正。贷款人有下列情形之一的，国家金融监督管理总局及其派出机构可根据《中华人民共和国银行业监督管理法》采取相关监管措施：</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（一）固定资产贷款业务流程有缺陷的；</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（二）未按本办法要求将贷款管理各环节的责任落实到具体部门和岗位的；</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（三）贷款调查、风险评价、贷后管理未尽职的；</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（四）未按本办法规定对借款人和项目的经营情况进行持续有效监控的。</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第五十五条 贷款人有下列情形之一的，国家金融监督管理总局及其派出机构可根据《中华人民共和国银行业监督管理法》对其采取相关监管措施或进行处罚：</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（一）受理不符合条件的固定资产贷款申请并发放贷款的；</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（二）与借款人串通，违法违规发放固定资产贷款的；</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（三）超越、变相超越权限或不按规定流程审批贷款的；</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（四）未按本办法规定签订借款合同的；</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（五）与贷款同比例的项目资本金到位前发放贷款的；</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（六）未按本办法规定进行贷款资金支付管理与控制的；</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（七）对借款人严重违约行为未采取有效措施的；</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（八）有其他严重违反本办法规定行为的。</w:t>
      </w:r>
    </w:p>
    <w:p>
      <w:pPr>
        <w:spacing w:after="156" w:afterLines="50" w:line="360" w:lineRule="auto"/>
        <w:ind w:firstLine="482" w:firstLineChars="200"/>
        <w:outlineLvl w:val="0"/>
        <w:rPr>
          <w:rFonts w:hint="eastAsia" w:cs="宋体" w:asciiTheme="majorEastAsia" w:hAnsiTheme="majorEastAsia" w:eastAsiaTheme="majorEastAsia"/>
          <w:b/>
          <w:bCs/>
        </w:rPr>
      </w:pPr>
      <w:bookmarkStart w:id="77" w:name="_Toc29515"/>
      <w:r>
        <w:rPr>
          <w:rFonts w:hint="eastAsia" w:cs="宋体" w:asciiTheme="majorEastAsia" w:hAnsiTheme="majorEastAsia" w:eastAsiaTheme="majorEastAsia"/>
          <w:b/>
          <w:bCs/>
        </w:rPr>
        <w:t>第九章附 则</w:t>
      </w:r>
      <w:bookmarkEnd w:id="77"/>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第五十六条 国家金融监督管理总局及其派出机构可以根据贷款人的经营管理情况、风险水平和固定资产贷款业务开展情况等，对贷款人固定资产贷款管理提出相关审慎监管要求。</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第五十七条 对专利权、著作权等知识产权以及采矿权等其他无形资产办理的贷款，可根据贷款项目的业务特征、运行模式等参照本办法执行，或适用流动资金贷款管理相关办法。</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第五十八条 国家金融监督管理总局对房地产贷款以及其他特殊类贷款另有规定的，从其规定。</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第五十九条 国家开发银行、政策性银行以及经国家金融监督管理总局批准设立的非银行金融机构发放的固定资产贷款，可参照本办法执行。</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第六十条 贷款人应依照本办法制定固定资产贷款管理细则及操作规程。</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第六十一条 本办法由国家金融监督管理总局负责解释。</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六十二条 本办法自2024年7月1日起施行，《固定资产贷款管理暂行办法》（中国银行业监督管理委员会令2009年第2号）、《项目融资业务指引》（银监发〔2009〕71号）、《中国银监会关于规范中长期贷款还款方式的通知》（银监发〔2010〕103号）、《中国银监会办公厅关于严格执行〈固定资产贷款管理暂行办法〉、〈流动资金贷款管理暂行办法〉和〈项目融资业务指引〉的通知》（银监办发〔2010〕53号）同时废止。</w:t>
      </w:r>
    </w:p>
    <w:p>
      <w:pPr>
        <w:pStyle w:val="2"/>
        <w:numPr>
          <w:ilvl w:val="0"/>
          <w:numId w:val="0"/>
        </w:numPr>
        <w:ind w:left="922" w:leftChars="0" w:hanging="440" w:firstLineChars="0"/>
      </w:pPr>
      <w:bookmarkStart w:id="78" w:name="_Toc27383"/>
      <w:r>
        <w:rPr>
          <w:rFonts w:cs="宋体" w:asciiTheme="majorEastAsia" w:hAnsiTheme="majorEastAsia" w:eastAsiaTheme="majorEastAsia"/>
          <w:b/>
          <w:bCs/>
          <w:sz w:val="24"/>
          <w:szCs w:val="24"/>
          <w:lang w:val="en-US" w:eastAsia="zh-CN" w:bidi="ar-SA"/>
        </w:rPr>
        <w:t>14.</w:t>
      </w:r>
      <w:r>
        <w:rPr>
          <w:rFonts w:hint="eastAsia"/>
        </w:rPr>
        <w:t>《电子商业汇票业务管理办法》</w:t>
      </w:r>
      <w:bookmarkEnd w:id="78"/>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发文机构：中国人民银行</w:t>
      </w:r>
      <w:r>
        <w:rPr>
          <w:rFonts w:hint="eastAsia" w:cs="宋体" w:asciiTheme="majorEastAsia" w:hAnsiTheme="majorEastAsia" w:eastAsiaTheme="majorEastAsia"/>
          <w:lang w:val="en-US" w:eastAsia="zh-CN"/>
        </w:rPr>
        <w:t xml:space="preserve">       </w:t>
      </w:r>
      <w:r>
        <w:rPr>
          <w:rFonts w:hint="eastAsia" w:cs="宋体" w:asciiTheme="majorEastAsia" w:hAnsiTheme="majorEastAsia" w:eastAsiaTheme="majorEastAsia"/>
        </w:rPr>
        <w:t>文号：中国人民银行令〔2009〕第2号</w:t>
      </w:r>
    </w:p>
    <w:p>
      <w:pPr>
        <w:spacing w:after="156" w:afterLines="50" w:line="360" w:lineRule="auto"/>
        <w:ind w:firstLine="482" w:firstLineChars="200"/>
        <w:outlineLvl w:val="0"/>
        <w:rPr>
          <w:rFonts w:cs="宋体" w:asciiTheme="majorEastAsia" w:hAnsiTheme="majorEastAsia" w:eastAsiaTheme="majorEastAsia"/>
          <w:b/>
          <w:bCs/>
        </w:rPr>
      </w:pPr>
      <w:bookmarkStart w:id="79" w:name="_Toc31792"/>
      <w:r>
        <w:rPr>
          <w:rFonts w:hint="eastAsia" w:cs="宋体" w:asciiTheme="majorEastAsia" w:hAnsiTheme="majorEastAsia" w:eastAsiaTheme="majorEastAsia"/>
          <w:b/>
          <w:bCs/>
        </w:rPr>
        <w:t>第一章</w:t>
      </w:r>
      <w:r>
        <w:rPr>
          <w:rFonts w:hint="eastAsia" w:cs="宋体" w:asciiTheme="majorEastAsia" w:hAnsiTheme="majorEastAsia" w:eastAsiaTheme="majorEastAsia"/>
          <w:b/>
          <w:bCs/>
          <w:lang w:val="en-US" w:eastAsia="zh-CN"/>
        </w:rPr>
        <w:t xml:space="preserve">  </w:t>
      </w:r>
      <w:r>
        <w:rPr>
          <w:rFonts w:hint="eastAsia" w:cs="宋体" w:asciiTheme="majorEastAsia" w:hAnsiTheme="majorEastAsia" w:eastAsiaTheme="majorEastAsia"/>
          <w:b/>
          <w:bCs/>
        </w:rPr>
        <w:t>总则</w:t>
      </w:r>
      <w:bookmarkEnd w:id="79"/>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规范电子商业汇票业务，保障电子商业汇票活动中当事人的合法权益，促进电子商业汇票业务发展，依据《中华人民共和国中国人民银行法》、《中华人民共和国票据法》、《中华人民共和国电子签名法》、《中华人民共和国物权法》、《票据管理实施办法》等有关法律法规，制定本办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电子商业汇票是指出票人依托电子商业汇票系统，以数据电文形式制作的，委托付款人在指定日期无条件支付确定金额给收款人或者持票人的票据。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电子商业汇票分为电子银行承兑汇票和电子商业承兑汇票。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电子银行承兑汇票由银行业金融机构、财务公司（以下统称金融机构）承兑；电子商业承兑汇票由金融机构以外的法人或其他组织承兑。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电子商业汇票的付款人为承兑人。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电子商业汇票系统是经中国人民银行批准建立，依托网络和计算机技术，接收、存储、发送电子商业汇票数据电文，提供与电子商业汇票货币给付、资金清算行为相关服务的业务处理平台。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电子商业汇票各当事人应本着诚实信用原则，按照本办法的规定作出票据行为。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电子商业汇票的出票、承兑、背书、保证、提示付款和追索等业务，必须通过电子商业汇票系统办理。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电子商业汇票业务主体的类别分为：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（一）直接接入电子商业汇票系统的金融机构（以下简称接入机构）；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（二）通过接入机构办理电子商业汇票业务的金融机构（以下简称被代理机构）；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（三）金融机构以外的法人及其他组织。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电子商业汇票系统对不同业务主体分配不同的类别代码。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票据当事人办理电子商业汇票业务应具备中华人民共和国组织机构代码。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被代理机构、金融机构以外的法人及其他组织办理电子商业汇票业务,应在接入机构开立账户。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接入机构提供电子商业汇票业务服务，应对客户基本信息的真实性负审核责任，并依据本办法及相关规定，与客户签订电子商业汇票业务服务协议，明确双方的权利和义务。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客户基本信息包括客户名称、账号、组织机构代码和业务主体类别等信息。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电子商业汇票系统运营者由中国人民银行指定和监管。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接入机构应按规定向客户和电子商业汇票系统转发电子商业汇票信息，并保证内部系统存储的电子商业汇票信息与电子商业汇票系统存储的相关信息相符。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电子商业汇票信息以电子商业汇票系统的记录为准。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电子商业汇票以人民币为计价单位。</w:t>
      </w:r>
    </w:p>
    <w:p>
      <w:pPr>
        <w:spacing w:after="156" w:afterLines="50" w:line="360" w:lineRule="auto"/>
        <w:ind w:firstLine="482" w:firstLineChars="200"/>
        <w:outlineLvl w:val="0"/>
        <w:rPr>
          <w:rFonts w:cs="宋体" w:asciiTheme="majorEastAsia" w:hAnsiTheme="majorEastAsia" w:eastAsiaTheme="majorEastAsia"/>
          <w:b/>
          <w:bCs/>
        </w:rPr>
      </w:pPr>
      <w:bookmarkStart w:id="80" w:name="_Toc22461"/>
      <w:r>
        <w:rPr>
          <w:rFonts w:hint="eastAsia" w:cs="宋体" w:asciiTheme="majorEastAsia" w:hAnsiTheme="majorEastAsia" w:eastAsiaTheme="majorEastAsia"/>
          <w:b/>
          <w:bCs/>
        </w:rPr>
        <w:t>第二章</w:t>
      </w:r>
      <w:r>
        <w:rPr>
          <w:rFonts w:hint="eastAsia" w:cs="宋体" w:asciiTheme="majorEastAsia" w:hAnsiTheme="majorEastAsia" w:eastAsiaTheme="majorEastAsia"/>
          <w:b/>
          <w:bCs/>
          <w:lang w:val="en-US" w:eastAsia="zh-CN"/>
        </w:rPr>
        <w:t xml:space="preserve">  </w:t>
      </w:r>
      <w:r>
        <w:rPr>
          <w:rFonts w:hint="eastAsia" w:cs="宋体" w:asciiTheme="majorEastAsia" w:hAnsiTheme="majorEastAsia" w:eastAsiaTheme="majorEastAsia"/>
          <w:b/>
          <w:bCs/>
        </w:rPr>
        <w:t>基本规定</w:t>
      </w:r>
      <w:bookmarkEnd w:id="8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电子商业汇票为定日付款票据。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电子商业汇票的付款期限自出票日起至到期日止，最长不得超过1年。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票据当事人在电子商业汇票上的签章，为该当事人可靠的电子签名。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电子签名所需的认证服务应由合法的电子认证服务提供者提供。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可靠的电子签名必须符合《中华人民共和国电子签名法》第十三条第一款的规定。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电子商业汇票业务活动中，票据当事人所使用的数据电文和电子签名应符合《中华人民共和国电子签名法》的有关规定。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客户开展电子商业汇票活动时，其签章所依赖的电子签名制作数据和电子签名认证证书，应向接入机构指定的电子认证服务提供者的注册审批机构申请。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接入机构为客户提供电子商业汇票业务服务或作为电子商业汇票当事人时，其签章所依赖的电子签名制作数据和电子签名认证证书，应向电子商业汇票系统运营者指定的电子认证服务提供者的注册审批机构申请。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接入机构、电子商业汇票系统运营者指定的电子认证服务机构提供者，应对电子签名认证证书申请者的身份真实性负审核责任。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电子认证服务提供者依据《中华人民共和国电子签名法》承担相应责任。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接入机构应对通过其办理电子商业汇票业务客户的电子签名真实性负审核责任。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电子商业汇票系统运营者应对接入机构的身份真实性和电子签名真实性负审核责任。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电子商业汇票系统应实时接收、处理电子商业汇票信息，并向相关票据当事人的接入机构实时发送该信息；接入机构应实时接收、处理电子商业汇票信息，并向相关票据当事人实时发送该信息。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出票人签发电子商业汇票时，应将其交付收款人。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电子商业汇票背书，背书人应将电子商业汇票交付被背书人。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电子商业汇票质押解除，质权人应将电子商业汇票交付出质人。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交付是指票据当事人将电子商业汇票发送给受让人，且受让人签收的行为。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签收是指票据当事人同意接受其他票据当事人的行为申请，签章并发送电子指令予以确认的行为。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驳回是指票据当事人拒绝接受其他票据当事人的行为申请，签章并发送电子指令予以确认的行为。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收款人、被背书人可与接入机构签订协议，委托接入机构代为签收或驳回行为申请，并代理签章。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商业承兑汇票的承兑人应与接入机构签订协议，在符合本办法规定的情况下，由接入机构代为签收或驳回提示付款指令，并代理签章。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出票人或背书人在电子商业汇票上记载了“不得转让”事项的，电子商业汇票不得继续背书。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 票据当事人通过电子商业汇票系统作出行为申请，行为接收方未签收且未驳回的，票据当事人可撤销该行为申请。电子商业汇票系统为行为接收方的，票据当事人不得撤销。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 电子商业汇票的出票日是指出票人记载在电子商业汇票上的出票日期。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电子商业汇票的提示付款日是指提示付款申请的指令进入电子商业汇票系统的日期。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电子商业汇票的拒绝付款日是指驳回提示付款申请的指令进入电子商业汇票系统的日期。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电子商业汇票追索行为的发生日是指追索通知的指令进入电子商业汇票系统的日期。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承兑、背书、保证、质押解除、付款和追索清偿等行为的发生日是指相应的签收指令进入电子商业汇票系统的日期。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 电子商业汇票责任解除前，电子商业汇票的承兑人不得撤销原办理电子商业汇票业务的账户，接入机构不得为其办理销户手续。</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 接入机构终止提供电子商业汇票业务服务的，应按规定由其他接入机构承接其电子商业汇票业务服务。</w:t>
      </w:r>
    </w:p>
    <w:p>
      <w:pPr>
        <w:spacing w:after="156" w:afterLines="50" w:line="360" w:lineRule="auto"/>
        <w:ind w:firstLine="482" w:firstLineChars="200"/>
        <w:outlineLvl w:val="0"/>
        <w:rPr>
          <w:rFonts w:cs="宋体" w:asciiTheme="majorEastAsia" w:hAnsiTheme="majorEastAsia" w:eastAsiaTheme="majorEastAsia"/>
          <w:b/>
          <w:bCs/>
        </w:rPr>
      </w:pPr>
      <w:bookmarkStart w:id="81" w:name="_Toc28572"/>
      <w:r>
        <w:rPr>
          <w:rFonts w:hint="eastAsia" w:cs="宋体" w:asciiTheme="majorEastAsia" w:hAnsiTheme="majorEastAsia" w:eastAsiaTheme="majorEastAsia"/>
          <w:b/>
          <w:bCs/>
        </w:rPr>
        <w:t>第三章</w:t>
      </w:r>
      <w:r>
        <w:rPr>
          <w:rFonts w:hint="eastAsia" w:cs="宋体" w:asciiTheme="majorEastAsia" w:hAnsiTheme="majorEastAsia" w:eastAsiaTheme="majorEastAsia"/>
          <w:b/>
          <w:bCs/>
          <w:lang w:val="en-US" w:eastAsia="zh-CN"/>
        </w:rPr>
        <w:t xml:space="preserve">  </w:t>
      </w:r>
      <w:r>
        <w:rPr>
          <w:rFonts w:hint="eastAsia" w:cs="宋体" w:asciiTheme="majorEastAsia" w:hAnsiTheme="majorEastAsia" w:eastAsiaTheme="majorEastAsia"/>
          <w:b/>
          <w:bCs/>
        </w:rPr>
        <w:t>票据行为</w:t>
      </w:r>
      <w:bookmarkEnd w:id="81"/>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第一节出票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 电子商业汇票的出票，是指出票人签发电子商业汇票并交付收款人的票据行为。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出票人在电子商业汇票交付收款人前，可办理票据的未用退回。</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出票人不得在提示付款期后将票据交付收款人。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 电子商业汇票的出票人必须为银行业金融机构以外的法人或其他组织。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电子银行承兑汇票的出票人应在承兑金融机构开立账户。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 电子商业汇票出票必须记载下列事项：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（一）表明“电子银行承兑汇票”或“电子商业承兑汇票”的字样；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（二）无条件支付的委托；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（三）确定的金额；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（四）出票人名称；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（五）付款人名称；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（六）收款人名称；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（七）出票日期；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（八）票据到期日；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（九）出票人签章。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第三十条 出票人可在电子商业汇票上记载自身的评级信息，并对记载信息的真实性负责，但该记载事项不具有票据上的效力。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评级信息包括评级机构、信用等级和评级到期日。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第二节承兑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第三十一条 电子商业汇票的承兑，是指付款人承诺在票据到期日支付电子商业汇票金额的票据行为。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第三十二条 电子商业汇票交付收款人前，应由付款人承兑。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第三十三条 电子银行承兑汇票由真实交易关系或债权债务关系中的债务人签发，并交由金融机构承兑。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电子银行承兑汇票的出票人与收款人不得为同一人。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第三十四条 电子商业承兑汇票的承兑有以下几种方式：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（一）真实交易关系或债权债务关系中的债务人签发并承兑；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（二）真实交易关系或债权债务关系中的债务人签发，交由第三人承兑；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（三）第三人签发，交由真实交易关系或债权债务关系中的债务人承兑；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（四）收款人签发，交由真实交易关系或债权债务关系中的债务人承兑。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第三十五条 电子银行承兑汇票的出票人应向承兑金融机构提交真实、有效、用以证实真实交易关系或债权债务关系的交易合同或其他证明材料，并在电子商业汇票上作相应记录，承兑金融机构应负责审核。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第三十六条 承兑人应在票据到期日前，承兑电子商业汇票。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第三十七条 承兑人承兑电子商业汇票，必须记载下列事项：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（一）表明“承兑”的字样；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（二）承兑日期；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（三）承兑人签章。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第三十八条 承兑人可在电子商业汇票上记载自身的评级信息，并对记载信息的真实性负责，但该记载事项不具有票据上的效力。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评级信息包括评级机构、信用等级和评级到期日。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第三节转让背书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第三十九条 转让背书是指持票人将电子商业汇票权利依法转让给他人的票据行为。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票据在提示付款期后，不得进行转让背书。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第四十条 转让背书应当基于真实、合法的交易关系和债权债务关系，或以税收、继承、捐赠、股利分配等合法行为为基础。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第四十一条 转让背书必须记载下列事项：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（一）背书人名称；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（二）被背书人名称；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（三）背书日期；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（四）背书人签章。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第四节贴现、转贴现和再贴现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第四十二条 贴现是指持票人在票据到期日前，将票据权利背书转让给金融机构，由其扣除一定利息后，将约定金额支付给持票人的票据行为。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转贴现是指持有票据的金融机构在票据到期日前，将票据权利背书转让给其他金融机构，由其扣除一定利息后，将约定金额支付给持票人的票据行为。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再贴现是指持有票据的金融机构在票据到期日前，将票据权利背书转让给中国人民银行，由其扣除一定利息后，将约定金额支付给持票人的票据行为。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第四十三条 贴现、转贴现和再贴现按照交易方式，分为买断式和回购式。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买断式是指贴出人将票据权利转让给贴入人，不约定日后赎回的交易方式。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回购式是指贴出人将票据权利转让给贴入人，约定日后赎回的交易方式。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电子商业汇票贴现、转贴现和再贴现业务中转让票据权利的票据当事人为贴出人，受让票据权利的票据当事人为贴入人。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第四十四条 电子商业汇票当事人在办理回购式贴现、回购式转贴现和回购式再贴现业务时，应明确赎回开放日、赎回截止日。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赎回开放日是指办理回购式贴现赎回、回购式转贴现赎回和回购式再贴现赎回业务的起始日期。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赎回截止日是指办理回购式贴现赎回、回购式转贴现赎回和回购式再贴现赎回业务的截止日期，该日期应早于票据到期日。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自赎回开放日起至赎回截止日止，为赎回开放期。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第四十五条 在赎回开放日前，原贴出人、原贴入人不得作出除追索行为外的其他票据行为。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回购式贴现、回购式转贴现和回购式再贴现业务的原贴出人、原贴入人应按照协议约定，在赎回开放期赎回票据。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在赎回开放期未赎回票据的，原贴入人在赎回截止日后只可将票据背书给他人或行使票据权利，除票据关系以外的其他权利义务关系由双方协议约定。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第四十六条 持票人申请贴现时，应向贴入人提供用以证明其与直接前手间真实交易关系或债权债务关系的合同、发票等其他材料，并在电子商业汇票上作相应记录，贴入人应负责审查。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第四十七条 电子商业汇票贴现、转贴现和再贴现必须记载下列事项：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（一）贴出人名称；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（二）贴入人名称；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（三）贴现、转贴现或再贴现日期；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（四）贴现、转贴现或再贴现类型；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（五）贴现、转贴现或再贴现利率；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（六）实付金额；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（七）贴出人签章。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实付金额为贴入人实际支付给贴出人的金额。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回购式贴现、回购式转贴现和回购式再贴现还应记载赎回开放日和赎回截止日。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贴现还应记载贴出人贴现资金入账信息。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第四十八条 电子商业汇票回购式贴现、回购式转贴现和回购式再贴现赎回应作成背书，并记载下列事项：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（一）原贴出人名称；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（二）原贴入人名称；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（三）赎回日期；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（四）赎回利率；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（五）赎回金额；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（六）原贴入人签章。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第四十九条 贴现和转贴现利率、期限等由贴出人与贴入人协商确定。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再贴现利率由中国人民银行规定。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第五十条 电子商业汇票贴现、转贴现和再贴现可选择票款对付方式或其他方式清算资金。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本办法所称票款对付，是指票据交付和资金交割同时完成，并互为条件的一种交易方式。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第五节质押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第五十一条 电子商业汇票的质押，是指电子商业汇票持票人为了给债权提供担保，在票据到期日前在电子商业汇票系统中进行登记，以该票据为债权人设立质权的票据行为。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第五十二条 主债务到期日先于票据到期日，且主债务已经履行完毕的，质权人应按约定解除质押。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主债务到期日先于票据到期日，且主债务到期未履行的，质权人可行使票据权利，但不得继续背书。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票据到期日先于主债务到期日的，质权人可在票据到期后行使票据权利，并与出质人协议将兑现的票款用于提前清偿所担保的债权或继续作为债权的担保。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第五十三条 电子商业汇票质押，必须记载下列事项：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（一）出质人名称；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（二）质权人名称；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（三）质押日期；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（四）表明“质押”的字样；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（五）出质人签章。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第五十四条 电子商业汇票质押解除，必须记载下列事项：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（一）表明“质押解除”的字样；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（二）质押解除日期。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第六节保证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第五十五条 电子商业汇票的保证，是指电子商业汇票上记载的债务人以外的第三人保证该票据获得付款的票据行为。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第五十六条 电子商业汇票获得承兑前，保证人作出保证行为的，被保证人为出票人。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电子商业汇票获得承兑后、出票人将电子商业汇票交付收款人前，保证人作出保证行为的，被保证人为承兑人。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出票人将电子商业汇票交付收款人后，保证人作出保证行为的，被保证人为背书人。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第五十七条 电子商业汇票保证，必须记载下列事项：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（一）表明“保证”的字样；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（二）保证人名称；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（三）保证人住所；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（四）被保证人名称；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（五）保证日期；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（六）保证人签章。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第七节付款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第五十八条 提示付款是指持票人通过电子商业汇票系统向承兑人请求付款的行为。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持票人应在提示付款期内向承兑人提示付款。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提示付款期自票据到期日起10日，最后一日遇法定休假日、大额支付系统非营业日、电子商业汇票系统非营业日顺延。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第五十九条 持票人在票据到期日前提示付款的，承兑人可付款或拒绝付款，或于到期日付款。承兑人拒绝付款或未予应答的，持票人可待票据到期后再次提示付款。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第六十条 持票人在提示付款期内提示付款的，承兑人应在收到提示付款请求的当日至迟次日（遇法定休假日、大额支付系统非营业日、电子商业汇票系统非营业日顺延）付款或拒绝付款。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持票人超过提示付款期提示付款的，接入机构不得拒绝受理。持票人在作出合理说明后，承兑人仍应当承担付款责任，并在上款规定的期限内付款或拒绝付款。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承兑汇票承兑人在票据到期后收到提示付款请求，且在收到该请求次日起第3日（遇法定休假日、大额支付系统非营业日、电子商业汇票系统非营业日顺延）仍未应答的，接入机构应按其与承兑人签订的《电子商业汇票业务服务协议》，进行如下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承兑人账户余额在该日电子商业汇票系统营业截止时足够支付票款的，则视同承兑人同意付款，接入机构应扣划承兑人账户资金支付票款，并在下一日（遇法定休假日、大额支付系统非营业日、电子商业汇票系统非营业日顺延）电子商业汇票系统营业开始时，代承兑人作出付款应答，并代理签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承兑人账户余额在该日电子商业汇票系统营业截止时不足以支付票款的，则视同承兑人拒绝付款，接入机构应在下一日（遇法定休假日、大额支付系统非营业日、电子商业汇票系统非营业日顺延）电子商业汇票系统营业开始时，代承兑人作出拒付应答，并代理签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第六十一条 接入机构应及时将持票人的提示付款请求通知电子商业承兑汇票的承兑人。通知方式由接入机构与承兑人自行约定。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第六十二条 持票人可选择票款对付方式或其他方式向承兑人提示付款。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第六十三条 电子商业汇票提示付款，必须记载下列事项：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（一）提示付款日期；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（二）提示付款人签章。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持票人可与接入机构签订协议，委托接入机构代为提示付款并代理签章。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第六十四条 承兑人付款或拒绝付款，必须记载下列事项：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（一）承兑人名称；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（二）付款日期或拒绝付款日期；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（三）承兑人签章。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承兑人拒绝付款的，还应注明拒绝付款的理由。</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第八节追索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第六十五条 追索分为拒付追索和非拒付追索。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拒付追索是指电子商业汇票到期后被拒绝付款，持票人请求前手付款的行为。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非拒付追索是指存在下列情形之一，持票人请求前手付款的行为：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（一）承兑人被依法宣告破产的；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（二）承兑人因违法被责令终止业务活动的。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第六十六条 持票人在票据到期日前被拒付的，不得拒付追索。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持票人在提示付款期内被拒付的，可向所有前手拒付追索。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持票人超过提示付款期提示付款被拒付的，若持票人在提示付款期内曾发出过提示付款，则可向所有前手拒付追索；若未在提示付款期内发出过提示付款，则只可向出票人、承兑人拒付追索。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第六十七条 追索时，追索人应当提供拒付证明。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拒付追索时，拒付证明为票据信息和拒付理由。</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非拒付追索时，拒付证明为票据信息和相关法律文件。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第六十八条 持票人因电子商业汇票到期后被拒绝付款或法律法规规定其他原因，拥有的向票据债务人追索的权利时效规定如下：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（一）持票人对出票人、承兑人追索和再追索权利时效，自票据到期日起2年，且不短于持票人对其他前手的追索和再追索权利时效。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（二）持票人对其他前手的追索权利时效，自被拒绝付款之日起6个月；持票人对其他前手的再追索权利时效，自清偿日或被提起诉讼之日起3个月。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第六十九条 持票人发出追索通知，必须记载下列事项：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（一）追索人名称；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（二）被追索人名称；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（三）追索通知日期；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（四）追索类型；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（五）追索金额；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（六）追索人签章。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第七十条 电子商业汇票清偿，必须记载下列事项：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（一）追索人名称；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（二）清偿人名称；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（三）同意清偿金额；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（四）清偿日期；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（五）清偿人签章。</w:t>
      </w:r>
    </w:p>
    <w:p>
      <w:pPr>
        <w:spacing w:after="156" w:afterLines="50" w:line="360" w:lineRule="auto"/>
        <w:ind w:firstLine="482" w:firstLineChars="200"/>
        <w:outlineLvl w:val="0"/>
        <w:rPr>
          <w:rFonts w:cs="宋体" w:asciiTheme="majorEastAsia" w:hAnsiTheme="majorEastAsia" w:eastAsiaTheme="majorEastAsia"/>
          <w:b/>
          <w:bCs/>
        </w:rPr>
      </w:pPr>
      <w:bookmarkStart w:id="82" w:name="_Toc24538"/>
      <w:r>
        <w:rPr>
          <w:rFonts w:hint="eastAsia" w:cs="宋体" w:asciiTheme="majorEastAsia" w:hAnsiTheme="majorEastAsia" w:eastAsiaTheme="majorEastAsia"/>
          <w:b/>
          <w:bCs/>
        </w:rPr>
        <w:t>第四章</w:t>
      </w:r>
      <w:r>
        <w:rPr>
          <w:rFonts w:hint="eastAsia" w:cs="宋体" w:asciiTheme="majorEastAsia" w:hAnsiTheme="majorEastAsia" w:eastAsiaTheme="majorEastAsia"/>
          <w:b/>
          <w:bCs/>
          <w:lang w:val="en-US" w:eastAsia="zh-CN"/>
        </w:rPr>
        <w:t xml:space="preserve">  </w:t>
      </w:r>
      <w:r>
        <w:rPr>
          <w:rFonts w:hint="eastAsia" w:cs="宋体" w:asciiTheme="majorEastAsia" w:hAnsiTheme="majorEastAsia" w:eastAsiaTheme="majorEastAsia"/>
          <w:b/>
          <w:bCs/>
        </w:rPr>
        <w:t>信息查询</w:t>
      </w:r>
      <w:bookmarkEnd w:id="8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第七十一条 票据当事人可通过接入机构查询与其相关的电子商业汇票票据信息。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第七十二条 接入机构应记录其与电子商业汇票系统之间发送和接收的电子商业汇票票据信息，并按规定将该信息向客户展示。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票据信息包括票面信息和行为信息。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票面信息是指出票人将票据交付收款人后、其他行为发生前，记载在票据上的所有信息。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行为信息是指票据行为的必须记载事项。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第七十三条 出票人可查询电子商业汇票票面信息。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承兑人在收到提示付款申请前，可查询电子商业汇票票面信息。收到提示付款申请后，可查询该票据的所有票据信息。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收款人、被背书人和保证人可查询自身作出的行为信息及之前的票据信息。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持票人可查询所有票据信息。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在追索阶段，被追索人可查询所有票据信息。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第七十四条 票据当事人对票据信息有异议的，应通过接入机构向电子商业汇票系统运营者提出书面申请，电子商业汇票系统运营者应在10个工作日内按照查询权限办理相关查询业务。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第七十五条 电子商业汇票所有票据行为中，处于待签收状态的接收方可向电子商业汇票系统查询该票据承兑人和行为发起方的电子商业汇票支付信用信息。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第七十六条 电子商业汇票系统仅提供票据当事人的电子商业汇票支付信用信息，不对其进行信用评价或评级。</w:t>
      </w:r>
    </w:p>
    <w:p>
      <w:pPr>
        <w:spacing w:after="156" w:afterLines="50" w:line="360" w:lineRule="auto"/>
        <w:ind w:firstLine="482" w:firstLineChars="200"/>
        <w:outlineLvl w:val="0"/>
        <w:rPr>
          <w:rFonts w:cs="宋体" w:asciiTheme="majorEastAsia" w:hAnsiTheme="majorEastAsia" w:eastAsiaTheme="majorEastAsia"/>
          <w:b/>
          <w:bCs/>
        </w:rPr>
      </w:pPr>
      <w:bookmarkStart w:id="83" w:name="_Toc321"/>
      <w:r>
        <w:rPr>
          <w:rFonts w:hint="eastAsia" w:cs="宋体" w:asciiTheme="majorEastAsia" w:hAnsiTheme="majorEastAsia" w:eastAsiaTheme="majorEastAsia"/>
          <w:b/>
          <w:bCs/>
        </w:rPr>
        <w:t>第五章</w:t>
      </w:r>
      <w:r>
        <w:rPr>
          <w:rFonts w:hint="eastAsia" w:cs="宋体" w:asciiTheme="majorEastAsia" w:hAnsiTheme="majorEastAsia" w:eastAsiaTheme="majorEastAsia"/>
          <w:b/>
          <w:bCs/>
          <w:lang w:val="en-US" w:eastAsia="zh-CN"/>
        </w:rPr>
        <w:t xml:space="preserve">  </w:t>
      </w:r>
      <w:r>
        <w:rPr>
          <w:rFonts w:hint="eastAsia" w:cs="宋体" w:asciiTheme="majorEastAsia" w:hAnsiTheme="majorEastAsia" w:eastAsiaTheme="majorEastAsia"/>
          <w:b/>
          <w:bCs/>
        </w:rPr>
        <w:t>法律责任</w:t>
      </w:r>
      <w:bookmarkEnd w:id="8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第七十七条 电子商业汇票发生法律纠纷时，电子商业汇票系统运营者负有出具电子商业汇票系统相关记录的义务。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第七十八条 承兑人应及时足额支付电子商业汇票票款。承兑人故意压票、拖延支付，影响持票人资金使用的，按中国人民银行规定的同档次流动资金贷款利率计付赔偿金。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第七十九条 电子银行承兑汇票的出票人于票据到期日未能足额交存票款时，承兑人除向持票人无条件付款外，对出票人尚未支付的汇票金额转入逾期贷款处理，并按照每天万分之五计收罚息。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第八十条 电子商业汇票相关各方存在下列情形之一，影响电子商业汇票业务处理或造成其他票据当事人资金损失的，应承担相应赔偿责任。中国人民银行有权视情节轻重对其处以警告或3万元以下罚款：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（一）作为电子银行承兑汇票承兑人的财务公司、电子商业承兑汇票的承兑人违反《中华人民共和国票据法》、《票据管理实施办法》和本办法规定无理拒付或拖延支付的；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（二）接入机构为客户提供电子商业汇票业务服务，未对客户基本信息尽审核义务的；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（三）为电子商业汇票业务活动提供电子认证服务的电子认证服务提供者，未依据《中华人民共和国电子签名法》承担相应责任的；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（四）接入机构为客户提供电子商业汇票业务服务，未对客户电子签名真实性进行认真审核，造成资金损失的；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（五）电子商业汇票系统运营者未对接入机构身份真实性和电子签名真实性进行认真审核，造成资金损失的；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（六）接入机构因清算资金不足导致电子商业汇票资金清算失败，给票据当事人造成损失的；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（七）接入机构因人为或系统原因未及时转发电子商业汇票信息，给票据当事人造成损失的；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（八）接入机构内部系统存储的电子商业汇票信息与电子商业汇票系统相关信息严重不符，给票据当事人造成损失的；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（九）接入机构的内部系统出现故障，未及时排除，造成重大影响的；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（十）电子商业汇票系统运营者运营的电子商业汇票系统出现故障，未及时排除，造成重大影响的；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（十一）电子商业汇票债务解除前，接入机构违反本办法规定为承兑人撤销账户的；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（十二）其他违反《中华人民共和国票据法》、《票据管理实施办法》及本办法规定的行为。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第八十一条 电子商业汇票当事人应当妥善保管电子签名制作数据，严防泄露。因保管不善造成资金损失的，有关责任方应当依法承担赔偿责任。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第八十二条 金融机构发现利用电子商业汇票从事违法犯罪活动的，应依法履行报告义务。</w:t>
      </w:r>
    </w:p>
    <w:p>
      <w:pPr>
        <w:spacing w:after="156" w:afterLines="50" w:line="360" w:lineRule="auto"/>
        <w:ind w:firstLine="482" w:firstLineChars="200"/>
        <w:outlineLvl w:val="0"/>
        <w:rPr>
          <w:rFonts w:cs="宋体" w:asciiTheme="majorEastAsia" w:hAnsiTheme="majorEastAsia" w:eastAsiaTheme="majorEastAsia"/>
          <w:b/>
          <w:bCs/>
        </w:rPr>
      </w:pPr>
      <w:bookmarkStart w:id="84" w:name="_Toc14748"/>
      <w:r>
        <w:rPr>
          <w:rFonts w:hint="eastAsia" w:cs="宋体" w:asciiTheme="majorEastAsia" w:hAnsiTheme="majorEastAsia" w:eastAsiaTheme="majorEastAsia"/>
          <w:b/>
          <w:bCs/>
        </w:rPr>
        <w:t>第六章</w:t>
      </w:r>
      <w:r>
        <w:rPr>
          <w:rFonts w:hint="eastAsia" w:cs="宋体" w:asciiTheme="majorEastAsia" w:hAnsiTheme="majorEastAsia" w:eastAsiaTheme="majorEastAsia"/>
          <w:b/>
          <w:bCs/>
          <w:lang w:val="en-US" w:eastAsia="zh-CN"/>
        </w:rPr>
        <w:t xml:space="preserve">  </w:t>
      </w:r>
      <w:r>
        <w:rPr>
          <w:rFonts w:hint="eastAsia" w:cs="宋体" w:asciiTheme="majorEastAsia" w:hAnsiTheme="majorEastAsia" w:eastAsiaTheme="majorEastAsia"/>
          <w:b/>
          <w:bCs/>
        </w:rPr>
        <w:t>附则</w:t>
      </w:r>
      <w:bookmarkEnd w:id="8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第八十三条 电子商业汇票的数据电文格式和票据显示样式由中国人民银行统一规定。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第八十四条 本办法未尽事宜，遵照《中华人民共和国票据法》、《票据管理实施办法》等法律法规执行。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第八十五条 本办法由中国人民银行负责解释和修订。</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第八十六条 本办法自公布之日起施行。</w:t>
      </w:r>
    </w:p>
    <w:p>
      <w:pPr>
        <w:pStyle w:val="2"/>
        <w:numPr>
          <w:ilvl w:val="0"/>
          <w:numId w:val="0"/>
        </w:numPr>
        <w:ind w:left="922" w:leftChars="0" w:hanging="440" w:firstLineChars="0"/>
      </w:pPr>
      <w:bookmarkStart w:id="85" w:name="_Toc8714"/>
      <w:r>
        <w:rPr>
          <w:rFonts w:cs="宋体" w:asciiTheme="majorEastAsia" w:hAnsiTheme="majorEastAsia" w:eastAsiaTheme="majorEastAsia"/>
          <w:b/>
          <w:bCs/>
          <w:sz w:val="24"/>
          <w:szCs w:val="24"/>
          <w:lang w:val="en-US" w:eastAsia="zh-CN" w:bidi="ar-SA"/>
        </w:rPr>
        <w:t>15.</w:t>
      </w:r>
      <w:r>
        <w:rPr>
          <w:rFonts w:hint="eastAsia"/>
        </w:rPr>
        <w:t>《流动资金贷款管理暂行办法》</w:t>
      </w:r>
      <w:bookmarkEnd w:id="85"/>
      <w:r>
        <w:rPr>
          <w:rFonts w:hint="eastAsia"/>
        </w:rPr>
        <w:tab/>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lang w:val="en-US" w:eastAsia="zh-CN"/>
        </w:rPr>
        <w:t>发文机构：</w:t>
      </w:r>
      <w:r>
        <w:rPr>
          <w:rFonts w:hint="eastAsia" w:cs="宋体" w:asciiTheme="majorEastAsia" w:hAnsiTheme="majorEastAsia" w:eastAsiaTheme="majorEastAsia"/>
        </w:rPr>
        <w:t>国家金融监督管理总局</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文号：国家金融监督管理总局令2024年第2号</w:t>
      </w:r>
    </w:p>
    <w:p>
      <w:pPr>
        <w:spacing w:after="156" w:afterLines="50" w:line="360" w:lineRule="auto"/>
        <w:ind w:firstLine="482" w:firstLineChars="200"/>
        <w:outlineLvl w:val="0"/>
        <w:rPr>
          <w:rFonts w:hint="eastAsia" w:cs="宋体" w:asciiTheme="majorEastAsia" w:hAnsiTheme="majorEastAsia" w:eastAsiaTheme="majorEastAsia"/>
          <w:b/>
          <w:bCs/>
        </w:rPr>
      </w:pPr>
      <w:bookmarkStart w:id="86" w:name="_Toc16048"/>
      <w:r>
        <w:rPr>
          <w:rFonts w:hint="eastAsia" w:cs="宋体" w:asciiTheme="majorEastAsia" w:hAnsiTheme="majorEastAsia" w:eastAsiaTheme="majorEastAsia"/>
          <w:b/>
          <w:bCs/>
        </w:rPr>
        <w:t>第一章　总</w:t>
      </w:r>
      <w:r>
        <w:rPr>
          <w:rFonts w:hint="eastAsia" w:cs="宋体" w:asciiTheme="majorEastAsia" w:hAnsiTheme="majorEastAsia" w:eastAsiaTheme="majorEastAsia"/>
          <w:b/>
          <w:bCs/>
          <w:lang w:val="en-US" w:eastAsia="zh-CN"/>
        </w:rPr>
        <w:t xml:space="preserve">  </w:t>
      </w:r>
      <w:r>
        <w:rPr>
          <w:rFonts w:hint="eastAsia" w:cs="宋体" w:asciiTheme="majorEastAsia" w:hAnsiTheme="majorEastAsia" w:eastAsiaTheme="majorEastAsia"/>
          <w:b/>
          <w:bCs/>
        </w:rPr>
        <w:t>则</w:t>
      </w:r>
      <w:bookmarkEnd w:id="86"/>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第一条　为规范银行业金融机构流动资金贷款业务经营行为，加强流动资金贷款审慎经营管理，促进流动资金贷款业务健康发展，依据《中华人民共和国银行业监督管理法》、《中华人民共和国商业银行法》等法律法规，制定本办法。</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第二条　本办法所称银行业金融机构（以下简称贷款人），是指在中华人民共和国境内设立的商业银行、农村合作银行、农村信用合作社等吸收公众存款的金融机构。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第三条　本办法所称流动资金贷款，是指贷款人向法人或非法人组织（按照国家有关规定不得办理银行贷款的主体除外）发放的，用于借款人日常经营周转的本外币贷款。</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第四条　贷款人开展流动资金贷款业务，应当遵循依法合规、审慎经营、平等自愿、公平诚信的原则。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第五条　贷款人应完善内部控制机制，实行贷款全流程管理，全面了解客户信息，建立流动资金贷款风险管理制度和有效的岗位制衡机制，将贷款管理各环节的责任落实到具体部门和岗位，并建立各岗位的考核和问责机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第六条　贷款人应合理测算借款人营运资金需求，审慎确定借款人的流动资金授信总额及具体贷款的额度，不得超过借款人的实际需求发放流动资金贷款。贷款人应根据借款人经营的规模和周期特点，合理设定流动资金贷款的业务品种和期限，以满足借款人经营的资金需求，实现对贷款资金回笼的有效控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第七条　贷款人应将流动资金贷款纳入对借款人及其所在集团客户的统一授信管理，并根据风险管理实际需要，建立风险限额管理制度。</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第八条　贷款人应根据经济运行状况、行业发展规律和借款人的有效信贷需求等，合理确定内部绩效考核指标，不得制订不合理的贷款规模指标，不得恶性竞争和突击放贷。</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第九条　贷款人应与借款人约定明确、合法的贷款用途。</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流动资金贷款不得用于借款人股东分红，以及金融资产、固定资产、股权等投资；不得用于国家禁止生产、经营的领域和用途。</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对向地方金融组织发放流动资金贷款另有规定的，从其规定。</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第十条　流动资金贷款禁止挪用，贷款人应按照合同约定检查、监督流动资金贷款的使用情况。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第十一条　流动资金贷款期限原则上不超过三年。对于经营现金流回收周期较长的，可适当延长贷款期限，最长不超过五年。</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第十二条　流动资金贷款利率应当遵循利率市场化原则，由借贷双方在遵守国家有关规定的前提下协商确定。</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第十三条　国家金融监督管理总局及其派出机构依法对流动资金贷款业务实施监督管理。</w:t>
      </w:r>
    </w:p>
    <w:p>
      <w:pPr>
        <w:spacing w:after="156" w:afterLines="50" w:line="360" w:lineRule="auto"/>
        <w:ind w:firstLine="482" w:firstLineChars="200"/>
        <w:outlineLvl w:val="0"/>
        <w:rPr>
          <w:rFonts w:hint="eastAsia" w:cs="宋体" w:asciiTheme="majorEastAsia" w:hAnsiTheme="majorEastAsia" w:eastAsiaTheme="majorEastAsia"/>
          <w:b/>
          <w:bCs/>
        </w:rPr>
      </w:pPr>
      <w:bookmarkStart w:id="87" w:name="_Toc1948"/>
      <w:r>
        <w:rPr>
          <w:rFonts w:hint="eastAsia" w:cs="宋体" w:asciiTheme="majorEastAsia" w:hAnsiTheme="majorEastAsia" w:eastAsiaTheme="majorEastAsia"/>
          <w:b/>
          <w:bCs/>
        </w:rPr>
        <w:t>第二章　受理与调查</w:t>
      </w:r>
      <w:bookmarkEnd w:id="87"/>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第十四条　流动资金贷款申请应具备以下条件：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（一）借款人依法经市场监督管理部门或主管部门核准登记；</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（二）借款用途明确、合法；</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（三）借款人经营合法、合规；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（四）借款人具有持续经营能力，有合法的还款来源；</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（五）借款人信用状况良好；</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（六）贷款人要求的其他条件。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第十五条　贷款人应对流动资金贷款申请材料的方式和具体内容提出要求，并要求借款人恪守诚实守信原则，承诺所提供材料真实、完整、有效。</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第十六条　贷款人应采取现场与非现场相结合的形式履行尽职调查，形成书面报告，并对其内容的真实性、完整性和有效性负责。</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为小微企业办理的流动资金贷款，贷款人通过非现场调查手段可有效核实相关信息真实性，并可据此对借款人作出风险评价的，可简化或不再进行现场调查。</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贷款人应根据自身风险管理能力，按照小微企业流动资金贷款的区域、行业、品种等，审慎确定借款人可简化或不再进行现场调查的贷款金额上限。</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尽职调查包括但不限于以下内容：</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（一）借款人的组织架构、公司治理、内部控制及法定代表人和经营管理团队的资信等情况；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（二）借款人的经营范围、核心主业、生产经营、贷款期内经营规划和重大投资计划等情况；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（三）借款人所在行业状况；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（四）借款人的应收账款、应付账款、存货等真实财务状况；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（五）借款人营运资金总需求和现有融资性负债情况；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（六）借款人关联方及关联交易等情况；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（七）贷款具体用途及与贷款用途相关的交易对象资金占用等情况；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（八）还款来源情况，包括经营产生的现金流、综合收益及其他合法收入等；</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（九）对有担保的流动资金贷款，还需调查抵（质）押物的权属、价值和变现难易程度，或保证人的保证资格和能力等情况。</w:t>
      </w:r>
    </w:p>
    <w:p>
      <w:pPr>
        <w:spacing w:after="156" w:afterLines="50" w:line="360" w:lineRule="auto"/>
        <w:ind w:firstLine="482" w:firstLineChars="200"/>
        <w:outlineLvl w:val="0"/>
        <w:rPr>
          <w:rFonts w:hint="eastAsia" w:cs="宋体" w:asciiTheme="majorEastAsia" w:hAnsiTheme="majorEastAsia" w:eastAsiaTheme="majorEastAsia"/>
          <w:b/>
          <w:bCs/>
        </w:rPr>
      </w:pPr>
      <w:bookmarkStart w:id="88" w:name="_Toc11820"/>
      <w:r>
        <w:rPr>
          <w:rFonts w:hint="eastAsia" w:cs="宋体" w:asciiTheme="majorEastAsia" w:hAnsiTheme="majorEastAsia" w:eastAsiaTheme="majorEastAsia"/>
          <w:b/>
          <w:bCs/>
        </w:rPr>
        <w:t>第三章　风险评价与审批</w:t>
      </w:r>
      <w:bookmarkEnd w:id="88"/>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第十七条　贷款人应建立完善的风险评价机制，落实具体的责任部门和岗位，全面审查流动资金贷款的风险因素。</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第十八条　贷款人应建立和完善内部评级制度，采用科学合理的评级和授信方法，评定客户信用等级，建立客户资信记录。</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第十九条　贷款人应根据借款人经营规模、业务特征、资金循环周期等要素测算其营运资金需求（测算方法示例参考附件），并合理确定贷款结构，包括金额、期限、利率、担保和还款方式等。</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贷款人可根据实际需要，制定针对不同类型借款人的测算方法，并适时对方法进行评估及调整。</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借款人为小微企业的，贷款人可通过其他方式分析判断借款人营运资金需求。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第二十条　贷款人应根据贷审分离、分级审批的原则，建立规范的流动资金贷款评审制度和流程，确保风险评价和信贷审批的独立性。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贷款人应建立健全内部审批授权与转授权机制。审批人员应在授权范围内按规定流程审批贷款，不得越权审批。</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第二十一条　贷款人为股东等关联方办理流动资金贷款的，应严格执行关联交易管理的相关监管规定，发放贷款条件不得优于一般借款人，并在风险评价报告中进行说明。</w:t>
      </w:r>
    </w:p>
    <w:p>
      <w:pPr>
        <w:spacing w:after="156" w:afterLines="50" w:line="360" w:lineRule="auto"/>
        <w:ind w:firstLine="482" w:firstLineChars="200"/>
        <w:outlineLvl w:val="0"/>
        <w:rPr>
          <w:rFonts w:hint="eastAsia" w:cs="宋体" w:asciiTheme="majorEastAsia" w:hAnsiTheme="majorEastAsia" w:eastAsiaTheme="majorEastAsia"/>
          <w:b/>
          <w:bCs/>
        </w:rPr>
      </w:pPr>
      <w:bookmarkStart w:id="89" w:name="_Toc23728"/>
      <w:r>
        <w:rPr>
          <w:rFonts w:hint="eastAsia" w:cs="宋体" w:asciiTheme="majorEastAsia" w:hAnsiTheme="majorEastAsia" w:eastAsiaTheme="majorEastAsia"/>
          <w:b/>
          <w:bCs/>
        </w:rPr>
        <w:t>第四章　合同签订</w:t>
      </w:r>
      <w:bookmarkEnd w:id="89"/>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第二十二条　贷款人应与借款人及其他相关当事人签订书面借款合同等相关协议，需担保的应同时签订担保合同或条款。</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第二十三条　贷款人应在借款合同中与借款人明确约定流动资金贷款的金额、期限、利率、用途、支付、还款方式等条款。</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对于期限超过一年的流动资金贷款，在借贷双方协商基础上，原则上实行本金分期偿还，并审慎约定每期还本金额。</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第二十四条　前条所指支付条款，包括但不限于以下内容：</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（一）贷款资金的支付方式和贷款人受托支付的金额标准；</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（二）支付方式变更及触发变更条件；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（三）贷款资金支付的限制、禁止行为；</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（四）借款人应及时提供的贷款资金使用记录和资料。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第二十五条　贷款人应要求借款人在合同中对与贷款相关的重要内容作出承诺，承诺内容包括但不限于：</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（一）及时向贷款人提供真实、完整、有效的材料；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（二）配合贷款人进行贷款支付管理、贷后管理及相关检查；</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（三）进行合并、分立、股权转让，以及进行可能影响其偿债能力的对外投资、对外提供担保、实质性增加债务融资等重大事项前征得贷款人同意；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（四）贷款人有权根据借款人资金回笼情况提前收回贷款；</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（五）发生影响偿债能力的重大不利事项时及时通知贷款人。</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第二十六条　贷款人应与借款人在合同中约定，出现以下情形之一时，借款人应承担的违约责任，以及贷款人可采取的提前收回贷款、调整贷款支付方式、调整贷款利率、收取罚息、压降授信额度、停止或中止贷款发放等措施，并追究相应法律责任：</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（一）未按约定用途使用贷款的；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（二）未按约定方式进行贷款资金支付的；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（三）未遵守承诺事项的；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（四）突破约定财务指标的；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（五）发生重大交叉违约事件的；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（六）违反借款合同约定的其他情形的。</w:t>
      </w:r>
    </w:p>
    <w:p>
      <w:pPr>
        <w:spacing w:after="156" w:afterLines="50" w:line="360" w:lineRule="auto"/>
        <w:ind w:firstLine="482" w:firstLineChars="200"/>
        <w:outlineLvl w:val="0"/>
        <w:rPr>
          <w:rFonts w:hint="eastAsia" w:cs="宋体" w:asciiTheme="majorEastAsia" w:hAnsiTheme="majorEastAsia" w:eastAsiaTheme="majorEastAsia"/>
          <w:b/>
          <w:bCs/>
        </w:rPr>
      </w:pPr>
      <w:bookmarkStart w:id="90" w:name="_Toc14328"/>
      <w:r>
        <w:rPr>
          <w:rFonts w:hint="eastAsia" w:cs="宋体" w:asciiTheme="majorEastAsia" w:hAnsiTheme="majorEastAsia" w:eastAsiaTheme="majorEastAsia"/>
          <w:b/>
          <w:bCs/>
        </w:rPr>
        <w:t>第五章　发放和支付</w:t>
      </w:r>
      <w:bookmarkEnd w:id="90"/>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第二十七条　贷款人应设立独立的责任部门或岗位，负责流动资金贷款发放和支付审核。</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第二十八条　贷款人在发放贷款前应确认借款人满足合同约定的提款条件，并按照合同约定通过贷款人受托支付或借款人自主支付的方式对贷款资金的支付进行管理与控制。贷款人应健全贷款资金支付管控体系，加强金融科技应用，有效监督贷款资金按约定用途使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贷款人受托支付是指贷款人根据借款人的提款申请和支付委托，将贷款通过借款人账户支付给符合合同约定用途的借款人交易对象。</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借款人自主支付是指贷款人根据借款人的提款申请将贷款资金发放至借款人账户后，由借款人自主支付给符合合同约定用途的借款人交易对象。</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第二十九条　贷款人应根据借款人的行业特征、经营规模、管理水平、信用状况等因素和贷款业务品种，合理约定贷款资金支付方式及贷款人受托支付的金额标准。</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第三十条　具有以下情形之一的流动资金贷款，应采用贷款人受托支付方式：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（一）与借款人新建立信贷业务关系且借款人信用状况一般；</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（二）支付对象明确且向借款人某一交易对象单笔支付金额超过一千万元人民币；</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（三）贷款人认定的其他情形。</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第三十一条　采用贷款人受托支付的，贷款人应根据约定的贷款用途，审核借款人提供的支付申请所列支付对象、支付金额等信息是否与相应的商务合同等证明材料相符。审核同意后，贷款人应将贷款资金通过借款人账户支付给借款人交易对象。</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对于贷款资金使用记录良好的借款人，在合同约定的贷款用途范围内，出现合理的紧急用款需求，贷款人经评估认为风险可控的，可适当简化借款人需提供的受托支付事前证明材料和流程，于放款完成后及时完成事后审核。</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第三十二条　采用借款人自主支付的，贷款人应按借款合同约定要求借款人定期汇总报告贷款资金支付情况，并通过账户分析、凭证查验或现场调查等方式核查贷款支付是否符合约定用途，以及是否存在以化整为零方式规避受托支付的情形。</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第三十三条　在贷款发放或支付过程中，借款人出现以下情形的，贷款人应与借款人协商补充贷款发放和支付条件，或根据合同约定变更贷款支付方式、停止或中止贷款资金的发放和支付：</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（一）信用状况下降；</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（二）经营及财务状况明显趋差；</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（三）贷款资金使用出现异常或规避受托支付；</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（四）其他重大违反合同约定的行为。</w:t>
      </w:r>
    </w:p>
    <w:p>
      <w:pPr>
        <w:spacing w:after="156" w:afterLines="50" w:line="360" w:lineRule="auto"/>
        <w:ind w:firstLine="482" w:firstLineChars="200"/>
        <w:outlineLvl w:val="0"/>
        <w:rPr>
          <w:rFonts w:hint="eastAsia" w:cs="宋体" w:asciiTheme="majorEastAsia" w:hAnsiTheme="majorEastAsia" w:eastAsiaTheme="majorEastAsia"/>
          <w:b/>
          <w:bCs/>
        </w:rPr>
      </w:pPr>
      <w:bookmarkStart w:id="91" w:name="_Toc18777"/>
      <w:r>
        <w:rPr>
          <w:rFonts w:hint="eastAsia" w:cs="宋体" w:asciiTheme="majorEastAsia" w:hAnsiTheme="majorEastAsia" w:eastAsiaTheme="majorEastAsia"/>
          <w:b/>
          <w:bCs/>
        </w:rPr>
        <w:t>第六章　贷后管理</w:t>
      </w:r>
      <w:bookmarkEnd w:id="91"/>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第三十四条　贷款人应加强对借款人资金挪用行为的监控，发现借款人挪用贷款资金的，应按照合同约定采取要求借款人整改、提前归还贷款或下调贷款风险分类等相应措施进行管控。</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第三十五条　贷款人应加强贷款资金发放后的管理，针对借款人所属行业及经营特点，通过定期与不定期现场检查与非现场监测，分析借款人经营、财务、信用、支付、担保及融资数量和渠道变化等状况，掌握各种影响借款人偿债能力的风险因素。</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对于简化或不再进行现场实地调查的业务，应当按照适当比例实施贷后实地检查。</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第三十六条　贷款人应通过借款合同的约定，要求借款人指定专门资金回笼账户并及时提供该账户资金进出情况。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贷款人可根据借款人信用状况、融资情况等，与借款人协商签订账户管理协议，明确约定对指定账户回笼资金进出的管理。</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贷款人应关注大额及异常资金流入流出情况，加强对资金回笼账户的监控。</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第三十七条　贷款人应动态关注借款人经营、管理、财务及资金流向等重大预警信号，根据合同约定及时采取提前收回贷款、追加担保等有效措施防范化解贷款风险。</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第三十八条　贷款人应评估贷款业务品种、额度、期限与借款人经营状况、还款能力的匹配程度，作为与借款人后续合作的依据，必要时及时调整与借款人合作的策略和内容。</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第三十九条　贷款人应根据法律法规规定和借款合同的约定，参与借款人大额融资、资产出售以及兼并、分立、股份制改造、破产清算等活动，维护贷款人债权。</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第四十条　借款人申请贷款展期的，贷款人应审慎评估展期原因和后续还款安排的可行性。同意展期的，应根据借款人还款来源等情况，合理确定展期期限，并加强对贷款的后续管理，按照实质风险状况进行风险分类。</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期限一年以内的贷款展期期限累计不得超过原贷款期限；期限超过一年的贷款展期期限累计不得超过原贷款期限的一半。</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第四十一条　贷款人应按照借款合同约定，收回贷款本息。</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对于未按照借款合同约定偿还的贷款，贷款人应采取清收、协议重组、债权转让或核销等措施进行处置。</w:t>
      </w:r>
    </w:p>
    <w:p>
      <w:pPr>
        <w:spacing w:after="156" w:afterLines="50" w:line="360" w:lineRule="auto"/>
        <w:ind w:firstLine="482" w:firstLineChars="200"/>
        <w:outlineLvl w:val="0"/>
        <w:rPr>
          <w:rFonts w:hint="eastAsia" w:cs="宋体" w:asciiTheme="majorEastAsia" w:hAnsiTheme="majorEastAsia" w:eastAsiaTheme="majorEastAsia"/>
          <w:b/>
          <w:bCs/>
        </w:rPr>
      </w:pPr>
      <w:bookmarkStart w:id="92" w:name="_Toc25721"/>
      <w:r>
        <w:rPr>
          <w:rFonts w:hint="eastAsia" w:cs="宋体" w:asciiTheme="majorEastAsia" w:hAnsiTheme="majorEastAsia" w:eastAsiaTheme="majorEastAsia"/>
          <w:b/>
          <w:bCs/>
        </w:rPr>
        <w:t>第七章　法律责任</w:t>
      </w:r>
      <w:bookmarkEnd w:id="92"/>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第四十二条　贷款人违反本办法规定经营流动资金贷款业务的，国家金融监督管理总局及其派出机构应当责令其限期改正。贷款人有下列情形之一的，国家金融监督管理总局及其派出机构可根据《中华人民共和国银行业监督管理法》采取相关监管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（一）流动资金贷款业务流程有缺陷的；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（二）未将贷款管理各环节的责任落实到具体部门和岗位的；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（三）贷款调查、风险评价、贷后管理未尽职的。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第四十三条　贷款人有下列情形之一的，国家金融监督管理总局及其派出机构可根据《中华人民共和国银行业监督管理法》对其采取相关监管措施或进行处罚：</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（一）以降低信贷条件或超过借款人实际资金需求发放贷款的；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（二）未按本办法规定签订借款合同的；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（三）与借款人串通或参与虚构贸易背景违规发放贷款的；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（四）放任借款人将流动资金贷款用于借款人股东分红、金融资产投资、固定资产投资、股权投资以及国家禁止生产、经营的领域和用途的；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（五）超越或变相超越权限审批贷款的；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（六）未按本办法规定进行贷款资金支付管理与控制的；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（七）对借款人严重违约行为未采取有效措施的；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（八）严重违反本办法规定的审慎经营规则的其他情形的。</w:t>
      </w:r>
    </w:p>
    <w:p>
      <w:pPr>
        <w:spacing w:after="156" w:afterLines="50" w:line="360" w:lineRule="auto"/>
        <w:ind w:firstLine="482" w:firstLineChars="200"/>
        <w:outlineLvl w:val="0"/>
        <w:rPr>
          <w:rFonts w:hint="eastAsia" w:cs="宋体" w:asciiTheme="majorEastAsia" w:hAnsiTheme="majorEastAsia" w:eastAsiaTheme="majorEastAsia"/>
          <w:b/>
          <w:bCs/>
        </w:rPr>
      </w:pPr>
      <w:bookmarkStart w:id="93" w:name="_Toc14973"/>
      <w:r>
        <w:rPr>
          <w:rFonts w:hint="eastAsia" w:cs="宋体" w:asciiTheme="majorEastAsia" w:hAnsiTheme="majorEastAsia" w:eastAsiaTheme="majorEastAsia"/>
          <w:b/>
          <w:bCs/>
        </w:rPr>
        <w:t>第八章　附　　则</w:t>
      </w:r>
      <w:bookmarkEnd w:id="93"/>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第四十四条　国家金融监督管理总局及其派出机构可以根据贷款人的经营管理情况、风险水平和流动资金贷款业务开展情况等，对贷款人流动资金贷款管理提出相关审慎监管要求。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第四十五条　对专利权、著作权等知识产权以及采矿权等其他无形资产办理的贷款，可适用本办法，或根据贷款项目的业务特征、运行模式等参照固定资产贷款管理相关办法执行。</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第四十六条　对于贷款金额五十万元人民币以下的固定资产相关融资需求，可参照本办法执行。</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第四十七条　国家金融监督管理总局对互联网贷款、汽车贷款以及其他特殊类贷款另有规定的，从其规定。</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第四十八条　国家开发银行、政策性银行以及经国家金融监督管理总局批准设立的非银行金融机构发放的流动资金贷款，可参照本办法执行。</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第四十九条　贷款人应依据本办法制定流动资金贷款管理实施细则及操作规程。</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第五十条　本办法由国家金融监督管理总局负责解释。</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第五十一条　本办法自2024年7月1日起施行，《流动资金贷款管理暂行办法》（中国银行业监督管理委员会令2010年第1号）同时废止。</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附件：流动资金贷款需求量的测算示例</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p>
    <w:p>
      <w:pPr>
        <w:spacing w:after="156" w:afterLines="50" w:line="360" w:lineRule="auto"/>
        <w:ind w:firstLine="482" w:firstLineChars="200"/>
        <w:outlineLvl w:val="0"/>
        <w:rPr>
          <w:rFonts w:hint="eastAsia" w:cs="宋体" w:asciiTheme="majorEastAsia" w:hAnsiTheme="majorEastAsia" w:eastAsiaTheme="majorEastAsia"/>
          <w:b/>
          <w:bCs/>
        </w:rPr>
      </w:pPr>
      <w:bookmarkStart w:id="94" w:name="_Toc17074"/>
      <w:r>
        <w:rPr>
          <w:rFonts w:hint="eastAsia" w:cs="宋体" w:asciiTheme="majorEastAsia" w:hAnsiTheme="majorEastAsia" w:eastAsiaTheme="majorEastAsia"/>
          <w:b/>
          <w:bCs/>
        </w:rPr>
        <w:t>附件</w:t>
      </w:r>
      <w:bookmarkEnd w:id="94"/>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流动资金贷款需求量的测算示例</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流动资金贷款需求量应基于借款人日常经营周转所需营运资金与现有流动资金的差额（即流动资金缺口）确定。一般来讲，影响流动资金需求的关键因素为存货（原材料、半成品、产成品）、现金、应收账款和应付账款。同时，还会受到借款人所属行业、经营规模、发展阶段、谈判地位等重要因素的影响。银行业金融机构根据借款人当期财务报告和业务发展预测，按以下方法测算其流动资金贷款需求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一、估算借款人营运资金量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借款人营运资金量影响因素主要包括现金、存货、应收账款、应付账款、预收账款、预付账款等。在调查基础上，预测各项资金周转时间变化，合理估算借款人营运资金量。在实际测算中，借款人营运资金需求可参考如下公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营运资金量＝上年度销售收入×（1－上年度销售利润率）×（1＋预计销售收入年增长率）/营运资金周转次数</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其中：营运资金周转次数＝360/（存货周转天数+应收账款周转天数－应付账款周转天数＋预付账款周转天数－预收账款周转天数）</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周转天数=360/周转次数</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应收账款周转次数＝销售收入/平均应收账款余额</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预收账款周转次数＝销售收入/平均预收账款余额</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存货周转次数＝销售成本/平均存货余额</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预付账款周转次数＝销售成本/平均预付账款余额</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应付账款周转次数＝销售成本/平均应付账款余额</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二、估算新增流动资金贷款额度</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将估算出的借款人营运资金需求量扣除借款人自有资金、现有流动资金贷款以及其他融资，即可估算出新增流动资金贷款额度。</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新增流动资金贷款额度=营运资金量－借款人自有资金－现有流动资金贷款－其他渠道提供的营运资金</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三、需要考虑的其他因素</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（一）各银行业金融机构应根据实际情况和未来发展情况（如借款人所属行业、规模、发展阶段、谈判地位等）分别合理预测借款人应收账款、存货和应付账款的周转天数，并可考虑一定的保险系数。</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（二）对集团关联客户，可采用合并报表估算流动资金贷款额度，原则上纳入合并报表范围内的成员企业流动资金贷款总和不能超过估算值。</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（三）对小微企业融资、订单融资、预付租金或者临时大额债项融资等情况，可在交易真实性的基础上，确保有效控制用途和回款情况下，根据实际交易需求确定流动资金额度。</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（四）对季节性生产借款人，可按每年的连续生产时段作为计算周期估算流动资金需求，贷款期限应根据回款周期合理确定。</w:t>
      </w:r>
    </w:p>
    <w:p>
      <w:pPr>
        <w:bidi w:val="0"/>
        <w:jc w:val="left"/>
        <w:rPr>
          <w:rFonts w:hint="eastAsia" w:asciiTheme="minorEastAsia" w:hAnsiTheme="minorEastAsia" w:eastAsiaTheme="minorEastAsia" w:cstheme="minorEastAsia"/>
        </w:rPr>
      </w:pPr>
    </w:p>
    <w:p>
      <w:pPr>
        <w:bidi w:val="0"/>
        <w:jc w:val="left"/>
        <w:rPr>
          <w:rFonts w:hint="eastAsia" w:asciiTheme="minorEastAsia" w:hAnsiTheme="minorEastAsia" w:eastAsiaTheme="minorEastAsia" w:cstheme="minorEastAsia"/>
        </w:rPr>
      </w:pPr>
    </w:p>
    <w:p>
      <w:pPr>
        <w:bidi w:val="0"/>
        <w:jc w:val="left"/>
        <w:rPr>
          <w:rFonts w:hint="eastAsia" w:asciiTheme="minorEastAsia" w:hAnsiTheme="minorEastAsia" w:eastAsiaTheme="minorEastAsia" w:cstheme="minorEastAsia"/>
        </w:rPr>
      </w:pPr>
    </w:p>
    <w:p>
      <w:pPr>
        <w:bidi w:val="0"/>
        <w:jc w:val="left"/>
        <w:rPr>
          <w:rFonts w:hint="eastAsia" w:asciiTheme="minorEastAsia" w:hAnsiTheme="minorEastAsia" w:eastAsiaTheme="minorEastAsia" w:cstheme="minorEastAsia"/>
        </w:rPr>
      </w:pPr>
    </w:p>
    <w:p>
      <w:pPr>
        <w:bidi w:val="0"/>
        <w:jc w:val="left"/>
        <w:rPr>
          <w:rFonts w:hint="eastAsia" w:asciiTheme="minorEastAsia" w:hAnsiTheme="minorEastAsia" w:eastAsiaTheme="minorEastAsia" w:cstheme="minorEastAsia"/>
        </w:rPr>
      </w:pPr>
    </w:p>
    <w:p>
      <w:pPr>
        <w:bidi w:val="0"/>
        <w:jc w:val="left"/>
        <w:rPr>
          <w:rFonts w:hint="eastAsia" w:asciiTheme="minorEastAsia" w:hAnsiTheme="minorEastAsia" w:eastAsiaTheme="minorEastAsia" w:cstheme="minorEastAsia"/>
        </w:rPr>
      </w:pPr>
    </w:p>
    <w:p>
      <w:pPr>
        <w:bidi w:val="0"/>
        <w:jc w:val="left"/>
        <w:rPr>
          <w:rFonts w:hint="eastAsia" w:asciiTheme="minorEastAsia" w:hAnsiTheme="minorEastAsia" w:eastAsiaTheme="minorEastAsia" w:cstheme="minorEastAsia"/>
        </w:rPr>
      </w:pPr>
    </w:p>
    <w:p>
      <w:pPr>
        <w:bidi w:val="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　</w:t>
      </w:r>
    </w:p>
    <w:p>
      <w:pPr>
        <w:pStyle w:val="2"/>
        <w:numPr>
          <w:ilvl w:val="0"/>
          <w:numId w:val="0"/>
        </w:numPr>
        <w:ind w:left="922" w:leftChars="0" w:hanging="440" w:firstLineChars="0"/>
      </w:pPr>
      <w:bookmarkStart w:id="95" w:name="_Toc18949"/>
      <w:r>
        <w:rPr>
          <w:rFonts w:cs="宋体" w:asciiTheme="majorEastAsia" w:hAnsiTheme="majorEastAsia" w:eastAsiaTheme="majorEastAsia"/>
          <w:b/>
          <w:bCs/>
          <w:sz w:val="24"/>
          <w:szCs w:val="24"/>
          <w:lang w:val="en-US" w:eastAsia="zh-CN" w:bidi="ar-SA"/>
        </w:rPr>
        <w:t>16.</w:t>
      </w:r>
      <w:r>
        <w:rPr>
          <w:rFonts w:hint="eastAsia"/>
        </w:rPr>
        <w:t>《个人贷款管理暂行办法》</w:t>
      </w:r>
      <w:bookmarkEnd w:id="95"/>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cs="宋体" w:asciiTheme="majorEastAsia" w:hAnsiTheme="majorEastAsia" w:eastAsiaTheme="majorEastAsia"/>
        </w:rPr>
      </w:pPr>
      <w:r>
        <w:rPr>
          <w:rFonts w:hint="eastAsia" w:cs="宋体" w:asciiTheme="majorEastAsia" w:hAnsiTheme="majorEastAsia" w:eastAsiaTheme="majorEastAsia"/>
        </w:rPr>
        <w:t>发文机构：国家金融监督管理总局</w:t>
      </w:r>
      <w:r>
        <w:rPr>
          <w:rFonts w:hint="eastAsia" w:cs="宋体" w:asciiTheme="majorEastAsia" w:hAnsiTheme="majorEastAsia" w:eastAsiaTheme="majorEastAsia"/>
        </w:rPr>
        <w:tab/>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文号：国家金融监督管理总局令2024年第3号</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shd w:val="clear" w:fill="FFFFFF"/>
        </w:rPr>
        <w:t>《个人贷款管理办法》已于2023年12月26日经国家金融监督管理总局2023年第5次局务会议审议通过。现予公布，自2024年7月1日起施行。</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0"/>
        <w:jc w:val="right"/>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shd w:val="clear" w:fill="FFFFFF"/>
        </w:rPr>
        <w:t>局　长　　李云泽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0"/>
        <w:jc w:val="right"/>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shd w:val="clear" w:fill="FFFFFF"/>
        </w:rPr>
        <w:t>2024年1月30日　  </w:t>
      </w:r>
    </w:p>
    <w:p>
      <w:pPr>
        <w:spacing w:after="156" w:afterLines="50" w:line="360" w:lineRule="auto"/>
        <w:ind w:firstLine="482" w:firstLineChars="200"/>
        <w:outlineLvl w:val="0"/>
        <w:rPr>
          <w:rFonts w:hint="eastAsia" w:cs="宋体" w:asciiTheme="majorEastAsia" w:hAnsiTheme="majorEastAsia" w:eastAsiaTheme="majorEastAsia"/>
          <w:b/>
          <w:bCs/>
        </w:rPr>
      </w:pPr>
      <w:bookmarkStart w:id="96" w:name="_Toc22571"/>
      <w:r>
        <w:rPr>
          <w:rFonts w:hint="eastAsia" w:cs="宋体" w:asciiTheme="majorEastAsia" w:hAnsiTheme="majorEastAsia" w:eastAsiaTheme="majorEastAsia"/>
          <w:b/>
          <w:bCs/>
        </w:rPr>
        <w:t>第一章　总　　则</w:t>
      </w:r>
      <w:bookmarkEnd w:id="96"/>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第一条　为规范银行业金融机构个人贷款业务行为，加强个人贷款业务审慎经营管理，促进个人贷款业务健康发展，依据《中华人民共和国银行业监督管理法》、《中华人民共和国商业银行法》等法律法规，制定本办法。</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第二条　本办法所称银行业金融机构（以下简称贷款人），是指在中华人民共和国境内设立的商业银行、农村合作银行、农村信用合作社等吸收公众存款的金融机构。</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第三条　本办法所称个人贷款，是指贷款人向符合条件的自然人发放的用于个人消费、生产经营等用途的本外币贷款。</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第四条　贷款人开展个人贷款业务，应当遵循依法合规、审慎经营、平等自愿、公平诚信的原则。</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第五条　贷款人应建立有效的个人贷款全流程管理机制，制订贷款管理制度及每一贷款品种的操作规程，明确相应贷款对象和范围，实施差别风险管理，建立贷款各操作环节的考核和问责机制。</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第六条　贷款人应根据风险管理实际需要，建立个人贷款风险限额管理制度。</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第七条　个人贷款用途应符合法律法规规定和国家有关政策，贷款人不得发放无指定用途的个人贷款。</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贷款人应加强贷款资金支付管理，有效防范个人贷款业务风险。</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第八条　个人贷款的期限应符合国家相关规定。用于个人消费的贷款期限不得超过五年；用于生产经营的贷款期限一般不超过五年，对于贷款用途对应的经营现金流回收周期较长的，可适当延长贷款期限，最长不超过十年。</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第九条　个人贷款利率应当遵循利率市场化原则，由借贷双方在遵守国家有关规定的前提下协商确定。</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第十条　贷款人应建立借款人合理的收入偿债比例控制机制，结合借款人收入、负债、支出、贷款用途、担保情况等因素，合理确定贷款金额和期限，控制借款人每期还款额不超过其还款能力。</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第十一条　国家金融监督管理总局及其派出机构依法对个人贷款业务实施监督管理。</w:t>
      </w:r>
    </w:p>
    <w:p>
      <w:pPr>
        <w:spacing w:after="156" w:afterLines="50" w:line="360" w:lineRule="auto"/>
        <w:ind w:firstLine="482" w:firstLineChars="200"/>
        <w:outlineLvl w:val="0"/>
        <w:rPr>
          <w:rFonts w:hint="eastAsia" w:cs="宋体" w:asciiTheme="majorEastAsia" w:hAnsiTheme="majorEastAsia" w:eastAsiaTheme="majorEastAsia"/>
          <w:b/>
          <w:bCs/>
        </w:rPr>
      </w:pPr>
      <w:bookmarkStart w:id="97" w:name="_Toc30090"/>
      <w:r>
        <w:rPr>
          <w:rFonts w:hint="eastAsia" w:cs="宋体" w:asciiTheme="majorEastAsia" w:hAnsiTheme="majorEastAsia" w:eastAsiaTheme="majorEastAsia"/>
          <w:b/>
          <w:bCs/>
        </w:rPr>
        <w:t>第二章　受理与调查</w:t>
      </w:r>
      <w:bookmarkEnd w:id="97"/>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第十二条　个人贷款申请应具备以下条件：</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（一）借款人为具有完全民事行为能力的中华人民共和国公民或符合国家有关规定的境外自然人；</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（二）借款用途明确合法；</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（三）贷款申请数额、期限和币种合理；</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（四）借款人具备还款意愿和还款能力；</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（五）借款人信用状况良好；</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（六）贷款人要求的其他条件。</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第十三条　贷款人应要求借款人以书面形式提出个人贷款申请，并要求借款人提供能够证明其符合贷款条件的相关资料。</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第十四条　贷款人受理借款人贷款申请后，应履行尽职调查职责，对个人贷款申请内容和相关情况的真实性、准确性、完整性进行调查核实，形成调查评价意见。</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第十五条　贷款调查包括但不限于以下内容：</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（一）借款人基本情况；</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（二）借款人收入情况；</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（三）借款用途，用于生产经营的还应调查借款人经营情况；</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（四）借款人还款来源、还款能力及还款方式；</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（五）保证人担保意愿、担保能力或抵（质）押物权属、价值及变现能力。</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第十六条　贷款调查应以现场实地调查与非现场间接调查相结合的形式开展，采取现场核实、电话查问、信息咨询以及其他数字化电子调查等途径和方法。</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对于金额不超过二十万元人民币的贷款，贷款人通过非现场间接调查手段可有效核实相关信息真实性，并可据此对借款人作出风险评价的，可简化或不再进行现场实地调查（不含用于个人住房用途的贷款）。</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第十七条　贷款人应建立健全贷款调查机制，明确对各类事项调查的途径和方式方法，确保贷款调查的真实性和有效性。</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贷款人将贷款调查中的部分特定事项委托第三方代为办理的，不得损害借款人合法权益，并确保相关风险可控。贷款人应明确第三方的资质条件，建立名单制管理制度，并定期对名单进行审查更新。</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贷款人不得将贷款调查中涉及借款人真实意思表示、收入水平、债务情况、自有资金来源及外部评估机构准入等风险控制的核心事项委托第三方完成。</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第十八条　贷款人应建立并执行贷款面谈制度。</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贷款人可根据业务需要通过视频形式与借款人面谈（不含用于个人住房用途的贷款）。视频面谈应当在贷款人自有平台上进行，记录并保存影像。贷款人应当采取有效措施确定并核实借款人真实身份及所涉及信息真实性。</w:t>
      </w:r>
    </w:p>
    <w:p>
      <w:pPr>
        <w:spacing w:after="156" w:afterLines="50" w:line="360" w:lineRule="auto"/>
        <w:ind w:firstLine="482" w:firstLineChars="200"/>
        <w:outlineLvl w:val="0"/>
        <w:rPr>
          <w:rFonts w:hint="eastAsia" w:cs="宋体" w:asciiTheme="majorEastAsia" w:hAnsiTheme="majorEastAsia" w:eastAsiaTheme="majorEastAsia"/>
          <w:b/>
          <w:bCs/>
        </w:rPr>
      </w:pPr>
      <w:bookmarkStart w:id="98" w:name="_Toc26982"/>
      <w:r>
        <w:rPr>
          <w:rFonts w:hint="eastAsia" w:cs="宋体" w:asciiTheme="majorEastAsia" w:hAnsiTheme="majorEastAsia" w:eastAsiaTheme="majorEastAsia"/>
          <w:b/>
          <w:bCs/>
        </w:rPr>
        <w:t>第三章　风险评价与审批</w:t>
      </w:r>
      <w:bookmarkEnd w:id="98"/>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第十九条　贷款审查应对贷款调查内容的合法性、合理性、准确性进行全面审查，重点关注调查人的尽职情况和借款人的偿还能力、信用状况、担保情况、抵（质）押比率、风险程度等。</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第二十条　贷款人应建立和完善风险评价机制，落实风险评价的责任部门和岗位。贷款风险评价应全面分析借款人的信用状况和还款能力，关注其收入与支出情况、偿债情况等，用于生产经营的还应对借款人经营情况和风险情况进行分析，采取定量和定性分析方法，全面、动态、审慎地进行贷款风险评价。对于提供担保的贷款，贷款人应当以全面评价借款人的偿债能力为前提，不得直接通过担保方式确定贷款金额和期限等要素。</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贷款人应建立和完善借款人信用风险评价体系，关注借款人各类融资情况，建立健全个人客户统一授信管理体系，并根据业务发展情况和风险控制需要，适时予以调整。</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第二十一条　贷款人应根据审慎性原则，完善授权管理制度，规范审批操作流程，明确贷款审批权限，实行审贷分离和授权审批，确保贷款审批按照授权独立审批贷款。</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贷款人通过线上方式进行自动化审批的，应当建立人工复审机制，作为对自动化审批的补充，并设定人工复审的触发条件。对贷后管理中发现自动化审批不能有效识别风险的，贷款人应当停止自动化审批流程。</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第二十二条　贷款人通过全线上方式开展的业务，应当符合互联网贷款相关规定。</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第二十三条　对未获批准的个人贷款申请，贷款人应告知借款人。</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第二十四条　贷款人应根据重大经济形势变化、违约率明显上升等异常情况，对贷款审批环节进行评价分析，及时、有针对性地调整审批政策，加强相关贷款的管理。</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第二十五条　贷款人为股东等关联方办理个人贷款的，应严格执行关联交易管理的相关监管规定，发放贷款条件不得优于一般借款人，并在风险评价报告中进行说明。</w:t>
      </w:r>
    </w:p>
    <w:p>
      <w:pPr>
        <w:spacing w:after="156" w:afterLines="50" w:line="360" w:lineRule="auto"/>
        <w:ind w:firstLine="482" w:firstLineChars="200"/>
        <w:outlineLvl w:val="0"/>
        <w:rPr>
          <w:rFonts w:hint="eastAsia" w:cs="宋体" w:asciiTheme="majorEastAsia" w:hAnsiTheme="majorEastAsia" w:eastAsiaTheme="majorEastAsia"/>
          <w:b/>
          <w:bCs/>
        </w:rPr>
      </w:pPr>
      <w:bookmarkStart w:id="99" w:name="_Toc32663"/>
      <w:r>
        <w:rPr>
          <w:rFonts w:hint="eastAsia" w:cs="宋体" w:asciiTheme="majorEastAsia" w:hAnsiTheme="majorEastAsia" w:eastAsiaTheme="majorEastAsia"/>
          <w:b/>
          <w:bCs/>
        </w:rPr>
        <w:t>第四章　协议与发放</w:t>
      </w:r>
      <w:bookmarkEnd w:id="99"/>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第二十六条　贷款人应与借款人签订书面借款合同，需担保的应同时签订担保合同或条款。贷款人应要求借款人当面签订借款合同及其他相关文件。对于金额不超过二十万元人民币的贷款，可通过电子银行渠道签订有关合同和文件（不含用于个人住房用途的贷款）。</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当面签约的，贷款人应当对签约过程进行录音录像并妥善保存相关影像。</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第二十七条　借款合同应符合《中华人民共和国民法典》等法律规定，明确约定各方当事人的诚信承诺和贷款资金的用途、支付对象（范围）、支付金额、支付条件、支付方式等。</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贷款人应在合同中与借款人约定，借款人不履行合同或怠于履行合同时应承担的违约责任，以及贷款人可采取的提前收回贷款、调整贷款支付方式、调整贷款利率、收取罚息、压降授信额度、停止或中止贷款发放等措施，并追究相应法律责任。</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第二十八条　贷款人应建立健全合同管理制度，有效防范个人贷款法律风险。</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借款合同采用格式条款的，应当维护借款人的合法权益，并予以公示。</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第二十九条　贷款人应依照《中华人民共和国民法典》等法律法规的相关规定，规范担保流程与操作。</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按合同约定办理抵（质）押物登记的，贷款人应当参与。贷款人委托第三方办理的，应对抵（质）押物登记情况予以核实。</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第三十条　贷款人应加强对贷款的发放管理，遵循审贷与放贷分离的原则，设立独立的放款管理部门或岗位，负责落实放款条件、发放满足约定条件的个人贷款。</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第三十一条　借款合同生效后，贷款人应按合同约定及时发放贷款。</w:t>
      </w:r>
    </w:p>
    <w:p>
      <w:pPr>
        <w:spacing w:after="156" w:afterLines="50" w:line="360" w:lineRule="auto"/>
        <w:ind w:firstLine="482" w:firstLineChars="200"/>
        <w:outlineLvl w:val="0"/>
        <w:rPr>
          <w:rFonts w:hint="eastAsia" w:cs="宋体" w:asciiTheme="majorEastAsia" w:hAnsiTheme="majorEastAsia" w:eastAsiaTheme="majorEastAsia"/>
          <w:b/>
          <w:bCs/>
        </w:rPr>
      </w:pPr>
      <w:bookmarkStart w:id="100" w:name="_Toc9898"/>
      <w:r>
        <w:rPr>
          <w:rFonts w:hint="eastAsia" w:cs="宋体" w:asciiTheme="majorEastAsia" w:hAnsiTheme="majorEastAsia" w:eastAsiaTheme="majorEastAsia"/>
          <w:b/>
          <w:bCs/>
        </w:rPr>
        <w:t>第五章　支付管理</w:t>
      </w:r>
      <w:bookmarkEnd w:id="100"/>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第三十二条　贷款人应按照借款合同约定，通过贷款人受托支付或借款人自主支付的方式对贷款资金的支付进行管理与控制。贷款人应健全贷款资金支付管控体系，加强金融科技应用，有效监督贷款资金按约定用途使用。</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贷款人受托支付是指贷款人根据借款人的提款申请和支付委托，将贷款资金支付给符合合同约定用途的借款人交易对象。</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借款人自主支付是指贷款人根据借款人的提款申请将贷款资金直接发放至借款人账户，并由借款人自主支付给符合合同约定用途的借款人交易对象。</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第三十三条　个人贷款资金应当采用贷款人受托支付方式向借款人交易对象支付，但本办法第三十六条规定的情形除外。</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第三十四条　采用贷款人受托支付的，贷款人应要求借款人在使用贷款时提出支付申请，并授权贷款人按合同约定方式支付贷款资金。</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贷款人应在贷款资金发放前审核借款人相关交易资料和凭证是否符合合同约定条件，支付后做好有关细节的认定记录。</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对于贷款资金使用记录良好的借款人，在合同约定的生产经营贷款用途范围内，出现合理的紧急用款需求，贷款人经评估认为风险可控的，可适当简化借款人需提供的受托支付事前证明材料和流程，于放款完成后及时完成事后审核。</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第三十五条　贷款人受托支付完成后，应详细记录资金流向，归集保存相关凭证。</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第三十六条　有下列情形之一的个人贷款，经贷款人同意可以采取借款人自主支付方式：</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（一）借款人无法事先确定具体交易对象且单次提款金额不超过三十万元人民币的；</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（二）借款人交易对象不具备条件有效使用非现金结算方式的；</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（三）贷款资金用于生产经营且单次提款金额不超过五十万元人民币的；</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（四）法律法规规定的其他情形的。</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第三十七条　采用借款人自主支付的，贷款人应与借款人在借款合同中事先约定，要求借款人定期报告或告知贷款人贷款资金支付情况。</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贷款人应当通过账户分析、凭证查验或现场调查等方式，核查贷款支付是否符合约定用途，以及是否存在以化整为零方式规避受托支付的情形。</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第三十八条　贷款支付过程中，借款人信用状况下降、贷款资金使用出现异常或违反合同约定以化整为零方式规避受托支付的，贷款人应与借款人协商补充贷款发放和支付条件，或根据合同约定变更贷款支付方式、停止或中止贷款资金的发放和支付。</w:t>
      </w:r>
    </w:p>
    <w:p>
      <w:pPr>
        <w:spacing w:after="156" w:afterLines="50" w:line="360" w:lineRule="auto"/>
        <w:ind w:firstLine="482" w:firstLineChars="200"/>
        <w:outlineLvl w:val="0"/>
        <w:rPr>
          <w:rFonts w:hint="eastAsia" w:cs="宋体" w:asciiTheme="majorEastAsia" w:hAnsiTheme="majorEastAsia" w:eastAsiaTheme="majorEastAsia"/>
          <w:b/>
          <w:bCs/>
        </w:rPr>
      </w:pPr>
      <w:bookmarkStart w:id="101" w:name="_Toc30635"/>
      <w:r>
        <w:rPr>
          <w:rFonts w:hint="eastAsia" w:cs="宋体" w:asciiTheme="majorEastAsia" w:hAnsiTheme="majorEastAsia" w:eastAsiaTheme="majorEastAsia"/>
          <w:b/>
          <w:bCs/>
        </w:rPr>
        <w:t>第六章　贷后管理</w:t>
      </w:r>
      <w:bookmarkEnd w:id="101"/>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第三十九条　个人贷款支付后，贷款人应采取有效方式对贷款资金使用、借款人的信用及担保情况变化等进行跟踪检查和监控分析，确保贷款资产安全。</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贷款人应加强对借款人资金挪用行为的监控，发现借款人挪用贷款资金的，应按照合同约定采取要求借款人整改、提前归还贷款或下调贷款风险分类等相应措施进行管控。</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第四十条　贷款人应区分个人贷款的品种、对象、金额等，确定贷款检查的相应方式、内容和频度。对于简化或不再进行现场实地调查的业务，应当按照适当比例实施贷后实地检查。贷款人内部审计等部门应对贷款检查职能部门的工作质量进行抽查和评价。</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第四十一条　贷款人应定期跟踪分析评估借款人履行借款合同约定内容的情况，并作为与借款人后续合作的信用评价基础。</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第四十二条　贷款人应当按照法律法规规定和借款合同的约定，对借款人未按合同承诺提供真实、完整信息和未按合同约定用途使用、支付贷款等行为追究违约责任。</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第四十三条　借款人申请贷款展期的，贷款人应审慎评估展期原因和后续还款安排的可行性。同意展期的，应根据还款来源等情况，合理确定展期期限，并加强对贷款的后续管理，按照实质风险状况进行风险分类。</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期限一年以内的贷款展期期限累计不得超过原贷款期限；期限超过一年的贷款展期期限累计不得超过原贷款期限的一半。</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第四十四条　贷款人应按照借款合同约定，收回贷款本息。</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对于未按照借款合同约定偿还的贷款，贷款人应采取清收、协议重组、债权转让或核销等措施进行处置。</w:t>
      </w:r>
    </w:p>
    <w:p>
      <w:pPr>
        <w:spacing w:after="156" w:afterLines="50" w:line="360" w:lineRule="auto"/>
        <w:ind w:firstLine="482" w:firstLineChars="200"/>
        <w:outlineLvl w:val="0"/>
        <w:rPr>
          <w:rFonts w:hint="eastAsia" w:cs="宋体" w:asciiTheme="majorEastAsia" w:hAnsiTheme="majorEastAsia" w:eastAsiaTheme="majorEastAsia"/>
          <w:b/>
          <w:bCs/>
        </w:rPr>
      </w:pPr>
      <w:bookmarkStart w:id="102" w:name="_Toc26727"/>
      <w:r>
        <w:rPr>
          <w:rFonts w:hint="eastAsia" w:cs="宋体" w:asciiTheme="majorEastAsia" w:hAnsiTheme="majorEastAsia" w:eastAsiaTheme="majorEastAsia"/>
          <w:b/>
          <w:bCs/>
        </w:rPr>
        <w:t>第七章　法律责任</w:t>
      </w:r>
      <w:bookmarkEnd w:id="102"/>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第四十五条　贷款人违反本办法规定办理个人贷款业务的，国家金融监督管理总局及其派出机构应当责令其限期改正。贷款人有下列情形之一的，国家金融监督管理总局及其派出机构可根据《中华人民共和国银行业监督管理法》采取相关监管措施：</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（一）贷款调查、审查、贷后管理未尽职的；</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（二）未按规定建立、执行贷款面谈、借款合同面签制度的；</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（三）借款合同采用格式条款未公示的；</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（四）违反本办法第三十条规定的；</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（五）支付管理不符合本办法要求的。</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第四十六条　贷款人有下列情形之一的，国家金融监督管理总局及其派出机构可根据《中华人民共和国银行业监督管理法》对其采取相关监管措施或进行处罚：</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（一）发放不符合条件的个人贷款的；</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（二）签订的借款合同不符合本办法规定的；</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（三）违反本办法第七条规定的；</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（四）将贷款调查的风险控制核心事项委托第三方完成的；</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（五）超越或变相超越贷款权限审批贷款的；</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（六）授意借款人虚构情节获得贷款的；</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（七）对借款人严重违约行为未采取有效措施的；</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（八）严重违反本办法规定的审慎经营规则的其他情形的。</w:t>
      </w:r>
    </w:p>
    <w:p>
      <w:pPr>
        <w:spacing w:after="156" w:afterLines="50" w:line="360" w:lineRule="auto"/>
        <w:ind w:firstLine="482" w:firstLineChars="200"/>
        <w:outlineLvl w:val="0"/>
        <w:rPr>
          <w:rFonts w:hint="eastAsia" w:cs="宋体" w:asciiTheme="majorEastAsia" w:hAnsiTheme="majorEastAsia" w:eastAsiaTheme="majorEastAsia"/>
          <w:b/>
          <w:bCs/>
        </w:rPr>
      </w:pPr>
      <w:bookmarkStart w:id="103" w:name="_Toc1957"/>
      <w:r>
        <w:rPr>
          <w:rFonts w:hint="eastAsia" w:cs="宋体" w:asciiTheme="majorEastAsia" w:hAnsiTheme="majorEastAsia" w:eastAsiaTheme="majorEastAsia"/>
          <w:b/>
          <w:bCs/>
        </w:rPr>
        <w:t>第八章　附　　则</w:t>
      </w:r>
      <w:bookmarkEnd w:id="103"/>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第四十七条　国家金融监督管理总局及其派出机构可以根据贷款人的经营管理情况、风险水平和个人贷款业务开展情况等，对贷款人个人贷款管理提出相关审慎监管要求。</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第四十八条　国家开发银行、政策性银行以及经国家金融监督管理总局批准设立的非银行金融机构发放的个人贷款，可参照本办法执行。</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第四十九条　国家金融监督管理总局对互联网、个人住房、个人助学、个人汽车等其他特殊类贷款另有规定的，从其规定。</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银行业金融机构发放给农户用于生产性贷款等国家有专门政策规定的特殊类个人贷款，暂不执行本办法。</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信用卡透支不适用本办法。</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第五十条　贷款人应依照本办法制定个人贷款业务管理细则及操作规程。</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第五十一条　本办法由国家金融监督管理总局负责解释。</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r>
        <w:rPr>
          <w:rFonts w:hint="eastAsia" w:cs="宋体" w:asciiTheme="majorEastAsia" w:hAnsiTheme="majorEastAsia" w:eastAsiaTheme="majorEastAsia"/>
        </w:rPr>
        <w:t>第五十二条　本办法自2024年7月1日起施行，《个人贷款管理暂行办法》（中国银行业监督管理委员会令2010年第2号）同时废止。</w:t>
      </w: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outlineLvl w:val="9"/>
        <w:rPr>
          <w:rFonts w:hint="eastAsia" w:cs="宋体" w:asciiTheme="majorEastAsia" w:hAnsiTheme="majorEastAsia" w:eastAsiaTheme="majorEastAsia"/>
        </w:rPr>
      </w:pPr>
    </w:p>
    <w:p>
      <w:pPr>
        <w:pStyle w:val="2"/>
        <w:numPr>
          <w:ilvl w:val="0"/>
          <w:numId w:val="0"/>
        </w:numPr>
        <w:ind w:left="922" w:leftChars="0" w:hanging="440" w:firstLineChars="0"/>
      </w:pPr>
      <w:bookmarkStart w:id="104" w:name="_Toc16262"/>
      <w:r>
        <w:rPr>
          <w:rFonts w:cs="宋体" w:asciiTheme="majorEastAsia" w:hAnsiTheme="majorEastAsia" w:eastAsiaTheme="majorEastAsia"/>
          <w:b/>
          <w:bCs/>
          <w:sz w:val="24"/>
          <w:szCs w:val="24"/>
          <w:lang w:val="en-US" w:eastAsia="zh-CN" w:bidi="ar-SA"/>
        </w:rPr>
        <w:t>17.</w:t>
      </w:r>
      <w:r>
        <w:rPr>
          <w:rFonts w:hint="eastAsia"/>
        </w:rPr>
        <w:t>《征信机构管理办法》</w:t>
      </w:r>
      <w:bookmarkEnd w:id="104"/>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发文机构：中国人民银行</w:t>
      </w:r>
      <w:r>
        <w:rPr>
          <w:rFonts w:hint="eastAsia" w:cs="宋体" w:asciiTheme="majorEastAsia" w:hAnsiTheme="majorEastAsia" w:eastAsiaTheme="majorEastAsia"/>
        </w:rPr>
        <w:tab/>
      </w:r>
      <w:r>
        <w:rPr>
          <w:rFonts w:hint="eastAsia" w:cs="宋体" w:asciiTheme="majorEastAsia" w:hAnsiTheme="majorEastAsia" w:eastAsiaTheme="majorEastAsia"/>
        </w:rPr>
        <w:t>文号：中国人民银行令〔2013〕第1号</w:t>
      </w:r>
    </w:p>
    <w:p>
      <w:pPr>
        <w:spacing w:after="156" w:afterLines="50" w:line="360" w:lineRule="auto"/>
        <w:ind w:firstLine="482" w:firstLineChars="200"/>
        <w:outlineLvl w:val="0"/>
        <w:rPr>
          <w:rFonts w:cs="宋体" w:asciiTheme="majorEastAsia" w:hAnsiTheme="majorEastAsia" w:eastAsiaTheme="majorEastAsia"/>
          <w:b/>
          <w:bCs/>
        </w:rPr>
      </w:pPr>
      <w:bookmarkStart w:id="105" w:name="_Toc22853"/>
      <w:r>
        <w:rPr>
          <w:rFonts w:hint="eastAsia" w:cs="宋体" w:asciiTheme="majorEastAsia" w:hAnsiTheme="majorEastAsia" w:eastAsiaTheme="majorEastAsia"/>
          <w:b/>
          <w:bCs/>
        </w:rPr>
        <w:t>第一章总则</w:t>
      </w:r>
      <w:bookmarkEnd w:id="10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为加强对征信机构的监督管理，促进征信业健康发展，根据《中华人民共和国中国人民银行法》、《中华人民共和国公司法》、《征信业管理条例》等法律法规，制定本办法。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本办法所称征信机构，是指依法设立、主要经营征信业务的机构。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中国人民银行依法履行对征信机构的监督管理职责。中国人民银行分支机构在总行的授权范围内，履行对辖区内征信机构的监督管理职责。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征信机构应当遵守法律、行政法规和中国人民银行的规定，诚信经营，不得损害国家利益、社会公共利益，不得侵犯他人合法权益。</w:t>
      </w:r>
    </w:p>
    <w:p>
      <w:pPr>
        <w:spacing w:after="156" w:afterLines="50" w:line="360" w:lineRule="auto"/>
        <w:ind w:firstLine="482" w:firstLineChars="200"/>
        <w:outlineLvl w:val="0"/>
        <w:rPr>
          <w:rFonts w:cs="宋体" w:asciiTheme="majorEastAsia" w:hAnsiTheme="majorEastAsia" w:eastAsiaTheme="majorEastAsia"/>
          <w:b/>
          <w:bCs/>
        </w:rPr>
      </w:pPr>
      <w:bookmarkStart w:id="106" w:name="_Toc345"/>
      <w:r>
        <w:rPr>
          <w:rFonts w:hint="eastAsia" w:cs="宋体" w:asciiTheme="majorEastAsia" w:hAnsiTheme="majorEastAsia" w:eastAsiaTheme="majorEastAsia"/>
          <w:b/>
          <w:bCs/>
        </w:rPr>
        <w:t>第二章机构的设立、变更与终止</w:t>
      </w:r>
      <w:bookmarkEnd w:id="10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设立个人征信机构应当经中国人民银行批准。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设立个人征信机构，除应当符合《征信业管理条例》第六条规定外，还应当具备以下条件：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（一）有健全的组织机构；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（二）有完善的业务操作、信息安全管理、合规性管理等内控制度；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（三）个人信用信息系统符合国家信息安全保护等级二级或二级以上标准。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《征信业管理条例》第六条第一项所称主要股东是指出资额占公司资本总额5%以上或者持股占公司股份5%以上的股东。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申请设立个人征信机构，应当向中国人民银行提交下列材料：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（一）个人征信机构设立申请表；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（二）征信业务可行性研究报告，包括发展规划、经营策略等；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（三）公司章程；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（四）股东关联关系和实际控制人说明；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（五）主要股东最近3年无重大违法违规行为的声明以及主要股东的信用报告；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（六）拟任董事、监事和高级管理人员任职资格证明；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（七）组织机构设置以及人员基本构成说明；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（八）已经建立的内控制度，包括业务操作、安全管理、合规性管理等；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（九）具有国家信息安全等级保护测评资质的机构出具的个人信用信息系统安全测评报告，关于信息安全保障措施的说明和相关安全保障制度；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（十）营业场所所有权或者使用权证明文件；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（十一）工商行政管理部门出具的企业名称预先核准通知书复印件。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中国人民银行可以通过实地调查、面谈等方式对申请材料进行核实。</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中国人民银行在受理个人征信机构设立申请后公示申请人的下列事项：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（一）拟设立征信机构的名称、营业场所、业务范围；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（二）拟设立征信机构的资本；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（三）拟设立征信机构的主要股东名单及其出资额或者所持股份；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（四）拟任征信机构的董事、监事和高级管理人员名单。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中国人民银行自受理个人征信机构设立申请之日起60日内对申请事项进行审查，并根据有利于征信业公平竞争和健康发展的审慎性原则作出批准或者不予批准的决定。决定批准的，依法颁发个人征信业务经营许可证；决定不予批准的，应当作出书面决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经批准设立的个人征信机构，凭个人征信业务经营许可证向公司登记机关办理登记，领取营业执照；个人征信机构应当自公司登记机关准予登记之日起20日内，向中国人民银行提交营业执照复印件。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个人征信机构拟合并或者分立的，应当向中国人民银行提出申请，说明申请和理由，并提交相关证明材料。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中国人民银行自受理申请之日起20日内，作出批准或者不予批准的书面决定。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个人征信机构拟变更资本、主要股东的，应当向中国人民银行提出申请，说明变更事项和变更理由，并提交相关证明材料。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中国人民银行自受理申请之日起20日内，作出批准或者不予批准的书面决定。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个人征信机构拟设立分支机构的，应当符合以下条件：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（一）对拟设立分支机构的可行性已经进行充分论证；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（二）最近3年无受到重大行政处罚的记录。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个人征信机构申请设立分支机构，应当向中国人民银行提交下列材料：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（一）个人征信机构分支机构设立申请表；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（二）个人征信机构上一年度经审计的财务会计报告；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（三）设立分支机构的可行性论证报告，包括拟设立分支机构的3年业务发展规划、市场分析和经营方针等；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（四）针对设立分支机构所作出的内控制度安排和风险防范措施；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（五）个人征信机构最近3年未受重大行政处罚的声明；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（六）拟任职的分支机构高级管理人员履历材料。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中国人民银行自受理申请之日起20日内，作出批准或者不予批准的书面决定。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个人征信机构变更机构名称、营业场所、法定代表人的，应当向中国人民银行申请变更个人征信业务经营许可证记载事项。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个人征信机构应当在个人征信业务经营许可证记载事项变更后，向公司登记机关申办变更登记，并自公司登记机关准予变更之日起20日内，向中国人民银行备案。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个人征信业务经营许可证应当在个人征信机构营业场所的显著位置公示。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个人征信机构应当妥善保管个人征信业务经营许可证，不得涂改、倒卖、出租、出借、转让。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个人征信业务经营许可证有效期为3年。有效期届满需要续展的，应当在有效期届满60日前向中国人民银行提出申请，换发个人征信业务经营许可证。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有效期届满不再续展的，个人征信机构应当在个人征信业务经营许可证有效期届满60日前向中国人民银行报告，并依照本办法第二十条的规定，妥善处理信息数据库，办理个人征信业务经营许可证注销手续；个人征信机构在个人征信业务经营许可证有效期届满60日前未提出续展申请的，中国人民银行可以在个人征信业务经营许可证有效期届满之日注销其个人征信业务经营许可证，并依照《征信业管理条例》第十二条的规定处理信息数据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设立企业征信机构，应当符合《中华人民共和国公司法》规定的公司设立条件，自公司登记机关准予登记之日起30日内向所在地的中国人民银行省会（首府）城市中心支行以上分支机构办理备案，并提交下列材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（一）企业征信机构备案表；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（二）营业执照复印件；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（三）股权结构说明，包括资本、股东名单及其出资额或者所持股份；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（四）组织机构设置以及人员基本构成说明；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（五）业务范围和业务规则基本情况报告；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（六）业务系统的基本情况，包括企业信用信息系统建设情况报告和具有国家信息安全等级保护测评资质的机构出具的企业信用信息系统安全测评报告；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（七）信息安全和风险防范措施，包括已经建立的内控制度和安全管理制度。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企业征信机构备案事项发生变更的，应当自变更之日起30日内向备案机构办理变更备案。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个人征信机构因解散或者被依法宣告破产等原因拟终止征信业务的，应当在拟终止之日前60日向中国人民银行报告退出方案，并依照《征信业管理条例》第十二条第一款规定处理信息数据库。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个人征信机构终止征信业务的，应当自终止之日起20日内，在中国人民银行指定的媒体上公告，并办理个人征信业务经营许可证注销手续，将许可证缴回中国人民银行；逾期不缴回的，中国人民银行应当依法收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企业征信机构因解散或者被依法宣告破产等原因拟终止征信业务的，应当在拟终止之日前60日向中国人民银行报告退出方案，并依照《征信业管理条例》第十二条第一款规定处理信息数据库。</w:t>
      </w:r>
    </w:p>
    <w:p>
      <w:pPr>
        <w:spacing w:after="156" w:afterLines="50" w:line="360" w:lineRule="auto"/>
        <w:ind w:firstLine="482" w:firstLineChars="200"/>
        <w:outlineLvl w:val="0"/>
        <w:rPr>
          <w:rFonts w:cs="宋体" w:asciiTheme="majorEastAsia" w:hAnsiTheme="majorEastAsia" w:eastAsiaTheme="majorEastAsia"/>
          <w:b/>
          <w:bCs/>
        </w:rPr>
      </w:pPr>
      <w:bookmarkStart w:id="107" w:name="_Toc15576"/>
      <w:r>
        <w:rPr>
          <w:rFonts w:hint="eastAsia" w:cs="宋体" w:asciiTheme="majorEastAsia" w:hAnsiTheme="majorEastAsia" w:eastAsiaTheme="majorEastAsia"/>
          <w:b/>
          <w:bCs/>
        </w:rPr>
        <w:t>第三章高级任职人员管理</w:t>
      </w:r>
      <w:bookmarkEnd w:id="10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个人征信机构的董事、监事、高级管理人员，应当在任职前取得中国人民银行核准的任职资格。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 取得个人征信机构董事、监事和高级管理人员任职资格，应当具备以下条件：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（一）正直诚实，品行良好；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（二）具有大专以上学历；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（三）从事征信工作3年以上或者从事金融、法律、会计、经济工作5年以上；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（四）具有履行职责所需的管理能力；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（五）熟悉与征信业务相关的法律法规和专业知识。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 有下列情形之一的，不得担任个人征信机构董事、监事和高级管理人员：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（一）因贪污、贿赂、侵占财产、挪用财产或者破坏社会主义市场经济秩序，被判处刑罚，或者因犯罪被剥夺政治权利，执行期满未逾5年的；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（二）最近3年有重大违法违规记录的。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本办法所称重大违法违规记录，是指除前款第一项所列之外的犯罪记录或者重大行政处罚记录。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 个人征信机构向中国人民银行申请核准董事、监事和高级管理人员的任职资格，应当提交下列材料：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（一）董事、监事和高级管理人员任职资格申请表；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（二）拟任职的董事、监事和高级管理人员的个人履历材料；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（三）拟任职的董事、监事和高级管理人员的学历证书复印件；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（四）拟任职的董事、监事和高级管理人员最近3年无重大违法违规记录的声明；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（五）拟任职的董事、监事和高级管理人员的个人信用报告。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个人征信机构应当如实提交前款规定的材料，个人征信机构以及拟任职的董事、监事和高级管理人员应当对材料的真实性、完整性负责。中国人民银行根据需要对材料的真实性进行核实，并对申请任职资格的董事、监事和高级管理人员进行考察或者谈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 中国人民银行依法对个人征信机构董事、监事和高级管理人员的任职资格进行审查，作出核准或者不予核准的书面决定。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 企业征信机构的董事、监事、高级管理人员，应当由任职的征信机构自任命之日起20日内向所在地的中国人民银行省会（首府）城市中心支行以上分支机构备案，并提交下列材料：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（一）董事、监事、高级管理人员备案表；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（二）董事、监事、高级管理人员的个人履历材料；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（三）董事、监事、高级管理人员的学历证书复印件；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（四）董事、监事、高级管理人员的备案材料真实性声明。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企业征信机构的董事、监事、高级管理人员发生变更的，应当自变更之日起20日内向备案机构办理变更备案。</w:t>
      </w:r>
    </w:p>
    <w:p>
      <w:pPr>
        <w:spacing w:after="156" w:afterLines="50" w:line="360" w:lineRule="auto"/>
        <w:ind w:firstLine="482" w:firstLineChars="200"/>
        <w:outlineLvl w:val="0"/>
        <w:rPr>
          <w:rFonts w:cs="宋体" w:asciiTheme="majorEastAsia" w:hAnsiTheme="majorEastAsia" w:eastAsiaTheme="majorEastAsia"/>
          <w:b/>
          <w:bCs/>
        </w:rPr>
      </w:pPr>
      <w:bookmarkStart w:id="108" w:name="_Toc29717"/>
      <w:r>
        <w:rPr>
          <w:rFonts w:hint="eastAsia" w:cs="宋体" w:asciiTheme="majorEastAsia" w:hAnsiTheme="majorEastAsia" w:eastAsiaTheme="majorEastAsia"/>
          <w:b/>
          <w:bCs/>
        </w:rPr>
        <w:t>第四章监督管理</w:t>
      </w:r>
      <w:bookmarkEnd w:id="108"/>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 个人征信机构应当在每年第一季度末，向中国人民银行报告上一年度征信业务开展情况。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企业征信机构应当在每年第一季度末，向备案机构报告上一年度征信业务开展情况。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报告内容应当包括信用信息采集、征信产品开发、信用信息服务、异议处理以及信用信息系统建设情况，信息安全保障情况等。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 个人征信机构应当按规定向中国人民银行报送征信业务统计报表、财务会计报告、审计报告等资料。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企业征信机构应当按规定向备案机构报送征信业务统计报表、财务会计报告、审计报告等资料。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征信机构应当对报送的报表和资料的真实性、准确性、完整性负责。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第三十条 征信机构应当按照国家信息安全保护等级测评标准，对信用信息系统的安全情况进行测评。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征信机构信用信息系统安全保护等级为二级的，应当每两年进行测评；信用信息系统安全保护等级为三级以及以上的，应当每年进行测评。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个人征信机构应当自具有国家信息安全等级保护测评资质的机构出具测评报告之日起20日内，将测评报告报送中国人民银行，企业征信机构应当将测评报告报送备案机构。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第三十一条 征信机构有下列情形之一的，中国人民银行及其分支机构可以将其列为重点监管对象：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（一）上一年度发生严重违法违规行为的；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（二）出现可能发生信息泄露征兆的；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（三）出现财务状况异常或者严重亏损的；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（四）被大量投诉的；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（五）未按本办法第二十八条、第二十九条、第三十条规定报送相关材料的；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（六）中国人民银行认为需要重点监管的其他情形。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征信机构被列为重点监管对象的，中国人民银行及其分支机构可以酌情缩短征信机构报告征信业务开展情况、进行信用信息系统安全情况测评的周期，并采取相应的监管措施，督促征信机构整改。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整改后第一款中所列情形消除的，中国人民银行及其分支机构可不再将其列为重点监管对象。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第三十二条 中国人民银行及其分支机构可以根据监管需要，约谈征信机构董事、监事和高级管理人员，要求其就征信业务经营、风险控制、内部管理等有关重大事项作出说明。</w:t>
      </w:r>
    </w:p>
    <w:p>
      <w:pPr>
        <w:spacing w:after="156" w:afterLines="50" w:line="360" w:lineRule="auto"/>
        <w:ind w:firstLine="482" w:firstLineChars="200"/>
        <w:outlineLvl w:val="0"/>
        <w:rPr>
          <w:rFonts w:cs="宋体" w:asciiTheme="majorEastAsia" w:hAnsiTheme="majorEastAsia" w:eastAsiaTheme="majorEastAsia"/>
          <w:b/>
          <w:bCs/>
        </w:rPr>
      </w:pPr>
      <w:bookmarkStart w:id="109" w:name="_Toc16991"/>
      <w:r>
        <w:rPr>
          <w:rFonts w:hint="eastAsia" w:cs="宋体" w:asciiTheme="majorEastAsia" w:hAnsiTheme="majorEastAsia" w:eastAsiaTheme="majorEastAsia"/>
          <w:b/>
          <w:bCs/>
        </w:rPr>
        <w:t>第五章罚则</w:t>
      </w:r>
      <w:bookmarkEnd w:id="109"/>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第三十三条 申请设立个人征信机构的申请人隐瞒有关情况或者提供虚假材料的，中国人民银行依照《中华人民共和国行政许可法》的相关规定进行处罚。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第三十四条 个人征信机构的个人信用信息系统未达到国家信息安全保护等级二级或者二级以上要求的，中国人民银行可以责令整顿；情节严重或者拒不整顿的，中国人民银行依照《征信业管理条例》第三十八条的规定，吊销其个人征信业务经营许可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第三十五条 申请个人征信机构的董事、监事、高级管理人员任职资格的申请人隐瞒有关情况或者提供虚假材料的，中国人民银行不予受理或者不予核准其任职资格，并给予警告；已经核准的，取消其任职资格。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禁止上述申请人3年内再次申请任职资格。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第三十六条 个人征信机构任命未取得任职资格董事、监事、高级管理人员的，由中国人民银行责令改正并给予警告；情节严重的，处1万元以上3万元以下罚款。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企业征信机构任命董事、监事、高级管理人员未及时备案或者变更备案，以及在备案中提供虚假材料的，由中国人民银行分支机构责令改正并给予警告；情节严重的，处1万元以上3万元以下罚款。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第三十七条 征信机构违反本办法第二十九条、第三十条规定的，由中国人民银行及其分支机构责令改正；情节严重的，处1万元以上3万元以下罚款；涉嫌犯罪的，依法移交司法机关追究其刑事责任。</w:t>
      </w:r>
    </w:p>
    <w:p>
      <w:pPr>
        <w:spacing w:after="156" w:afterLines="50" w:line="360" w:lineRule="auto"/>
        <w:ind w:firstLine="482" w:firstLineChars="200"/>
        <w:outlineLvl w:val="0"/>
        <w:rPr>
          <w:rFonts w:cs="宋体" w:asciiTheme="majorEastAsia" w:hAnsiTheme="majorEastAsia" w:eastAsiaTheme="majorEastAsia"/>
          <w:b/>
          <w:bCs/>
        </w:rPr>
      </w:pPr>
      <w:bookmarkStart w:id="110" w:name="_Toc10225"/>
      <w:r>
        <w:rPr>
          <w:rFonts w:hint="eastAsia" w:cs="宋体" w:asciiTheme="majorEastAsia" w:hAnsiTheme="majorEastAsia" w:eastAsiaTheme="majorEastAsia"/>
          <w:b/>
          <w:bCs/>
        </w:rPr>
        <w:t>第六章附则</w:t>
      </w:r>
      <w:bookmarkEnd w:id="11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第三十八条 本办法由中国人民银行负责解释。</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第三十九条 本办法自2013年12月20日起施行。</w:t>
      </w:r>
    </w:p>
    <w:p>
      <w:pPr>
        <w:pStyle w:val="2"/>
        <w:numPr>
          <w:ilvl w:val="0"/>
          <w:numId w:val="0"/>
        </w:numPr>
        <w:ind w:left="922" w:leftChars="0" w:hanging="440" w:firstLineChars="0"/>
      </w:pPr>
      <w:bookmarkStart w:id="111" w:name="_Toc16542"/>
      <w:r>
        <w:rPr>
          <w:rFonts w:cs="宋体" w:asciiTheme="majorEastAsia" w:hAnsiTheme="majorEastAsia" w:eastAsiaTheme="majorEastAsia"/>
          <w:b/>
          <w:bCs/>
          <w:sz w:val="24"/>
          <w:szCs w:val="24"/>
          <w:lang w:val="en-US" w:eastAsia="zh-CN" w:bidi="ar-SA"/>
        </w:rPr>
        <w:t>18.</w:t>
      </w:r>
      <w:r>
        <w:rPr>
          <w:rFonts w:hint="eastAsia"/>
        </w:rPr>
        <w:t>《商业银行保理业务管理暂行办法》</w:t>
      </w:r>
      <w:bookmarkEnd w:id="111"/>
      <w:r>
        <w:rPr>
          <w:rFonts w:hint="eastAsia"/>
        </w:rPr>
        <w:tab/>
      </w:r>
    </w:p>
    <w:p>
      <w:pPr>
        <w:spacing w:after="156" w:afterLines="50" w:line="360" w:lineRule="auto"/>
        <w:ind w:firstLine="480" w:firstLineChars="200"/>
        <w:outlineLvl w:val="0"/>
        <w:rPr>
          <w:rFonts w:hint="eastAsia" w:cs="宋体" w:asciiTheme="majorEastAsia" w:hAnsiTheme="majorEastAsia" w:eastAsiaTheme="majorEastAsia"/>
          <w:lang w:eastAsia="zh-CN"/>
        </w:rPr>
      </w:pPr>
      <w:bookmarkStart w:id="112" w:name="_Toc10846"/>
      <w:r>
        <w:rPr>
          <w:rFonts w:hint="eastAsia" w:cs="宋体" w:asciiTheme="majorEastAsia" w:hAnsiTheme="majorEastAsia" w:eastAsiaTheme="majorEastAsia"/>
        </w:rPr>
        <w:t>发文机构：中国银行业监督管理委员会（已撤销）</w:t>
      </w:r>
      <w:bookmarkEnd w:id="112"/>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文号：中国银行业监督管理委员会令〔2014〕第5号</w:t>
      </w:r>
    </w:p>
    <w:p>
      <w:pPr>
        <w:spacing w:after="156" w:afterLines="50" w:line="360" w:lineRule="auto"/>
        <w:ind w:firstLine="482" w:firstLineChars="200"/>
        <w:outlineLvl w:val="0"/>
        <w:rPr>
          <w:rFonts w:cs="宋体" w:asciiTheme="majorEastAsia" w:hAnsiTheme="majorEastAsia" w:eastAsiaTheme="majorEastAsia"/>
          <w:b/>
          <w:bCs/>
        </w:rPr>
      </w:pPr>
      <w:bookmarkStart w:id="113" w:name="_Toc25083"/>
      <w:r>
        <w:rPr>
          <w:rFonts w:hint="eastAsia" w:cs="宋体" w:asciiTheme="majorEastAsia" w:hAnsiTheme="majorEastAsia" w:eastAsiaTheme="majorEastAsia"/>
          <w:b/>
          <w:bCs/>
        </w:rPr>
        <w:t>第一章总则</w:t>
      </w:r>
      <w:bookmarkEnd w:id="11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规范商业银行保理业务经营行为，加强保理业务审慎经营管理，促进保理业务健康发展，根据《中华人民共和国合同法》、《中华人民共和国物权法》、《中华人民共和国银行业监督管理法》、《中华人民共和国商业银行法》等法律法规，制定本办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中华人民共和国境内依法设立的商业银行经营保理业务，应当遵守本办法。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商业银行开办保理业务，应当遵循依法合规、审慎经营、平等自愿、公平诚信的原则。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商业银行开办保理业务应当妥善处理业务发展与风险管理的关系。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中国银监会及其派出机构依照本办法及有关法律法规对商业银行保理业务实施监督管理。</w:t>
      </w:r>
    </w:p>
    <w:p>
      <w:pPr>
        <w:spacing w:after="156" w:afterLines="50" w:line="360" w:lineRule="auto"/>
        <w:ind w:firstLine="482" w:firstLineChars="200"/>
        <w:outlineLvl w:val="0"/>
        <w:rPr>
          <w:rFonts w:cs="宋体" w:asciiTheme="majorEastAsia" w:hAnsiTheme="majorEastAsia" w:eastAsiaTheme="majorEastAsia"/>
          <w:b/>
          <w:bCs/>
        </w:rPr>
      </w:pPr>
      <w:bookmarkStart w:id="114" w:name="_Toc27644"/>
      <w:r>
        <w:rPr>
          <w:rFonts w:hint="eastAsia" w:cs="宋体" w:asciiTheme="majorEastAsia" w:hAnsiTheme="majorEastAsia" w:eastAsiaTheme="majorEastAsia"/>
          <w:b/>
          <w:bCs/>
        </w:rPr>
        <w:t>第二章定义和分类</w:t>
      </w:r>
      <w:bookmarkEnd w:id="11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本办法所称保理业务是以债权人转让其应收账款为前提，集应收账款催收、管理、坏账担保及融资于一体的综合性金融服务。债权人将其应收账款转让给商业银行，由商业银行向其提供下列服务中至少一项的，即为保理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（一）应收账款催收：商业银行根据应收账款账期,主动或应债权人要求，采取电话、函件、上门等方式或运用法律手段等对债务人进行催收。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（二）应收账款管理：商业银行根据债权人的要求，定期或不定期向其提供关于应收账款的回收情况、逾期账款情况、对账单等财务和统计报表，协助其进行应收账款管理。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（三）坏账担保：商业银行与债权人签订保理协议后，为债务人核定信用额度，并在核准额度内，对债权人无商业纠纷的应收账款，提供约定的付款担保。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（四）保理融资：以应收账款合法、有效转让为前提的银行融资服务。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以应收账款为质押的贷款，不属于保理业务范围。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商业银行应当按照“权属确定，转让明责”的原则，严格审核并确认债权的真实性，确保应收账款初始权属清晰确定、历次转让凭证完整、权责无争议。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本办法所称应收账款，是指企业因提供商品、服务或者出租资产而形成的金钱债权及其产生的收益，但不包括因票据或其他有价证券而产生的付款请求权。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本办法所指应收账款的转让，是指与应收账款相关的全部权利及权益的让渡。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保理业务分类：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（一）国内保理和国际保理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按照基础交易的性质和债权人、债务人所在地，分为国际保理和国内保理。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国内保理是债权人和债务人均在境内的保理业务。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国际保理是债权人和债务人中至少有一方在境外（包括保税区、自贸区、境内关外等）的保理业务。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（二）有追索权保理和无追索权保理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按照商业银行在债务人破产、无理拖欠或无法偿付应收账款时，是否可以向债权人反转让应收账款、要求债权人回购应收账款或归还融资，分为有追索权保理和无追索权保理。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有追索权保理是指在应收账款到期无法从债务人处收回时，商业银行可以向债权人反转让应收账款、要求债权人回购应收账款或归还融资。有追索权保理又称回购型保理。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无追索权保理是指应收账款在无商业纠纷等情况下无法得到清偿的，由商业银行承担应收账款的坏账风险。无追索权保理又称买断型保理。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（三）单保理和双保理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按照参与保理服务的保理机构个数，分为单保理和双保理。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单保理是由一家保理机构单独为买卖双方提供保理服务。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双保理是由两家保理机构分别向买卖双方提供保理服务。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买卖双方保理机构为同一银行不同分支机构的，原则上可视作双保理。商业银行应当在相关业务管理办法中同时明确作为买方保理机构和卖方保理机构的职责。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有保险公司承保买方信用风险的银保合作，视同双保理。</w:t>
      </w:r>
    </w:p>
    <w:p>
      <w:pPr>
        <w:spacing w:after="156" w:afterLines="50" w:line="360" w:lineRule="auto"/>
        <w:ind w:firstLine="482" w:firstLineChars="200"/>
        <w:outlineLvl w:val="0"/>
        <w:rPr>
          <w:rFonts w:cs="宋体" w:asciiTheme="majorEastAsia" w:hAnsiTheme="majorEastAsia" w:eastAsiaTheme="majorEastAsia"/>
          <w:b/>
          <w:bCs/>
        </w:rPr>
      </w:pPr>
      <w:bookmarkStart w:id="115" w:name="_Toc19742"/>
      <w:r>
        <w:rPr>
          <w:rFonts w:hint="eastAsia" w:cs="宋体" w:asciiTheme="majorEastAsia" w:hAnsiTheme="majorEastAsia" w:eastAsiaTheme="majorEastAsia"/>
          <w:b/>
          <w:bCs/>
        </w:rPr>
        <w:t>第三章保理融资业务管理</w:t>
      </w:r>
      <w:bookmarkEnd w:id="11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商业银行应当按照本办法对具体保理融资产品进行定义，根据自身情况确定适当的业务范围，制定保理融资客户准入标准。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双保理业务中，商业银行应当对合格买方保理机构制定准入标准，对于买方保理机构为非银行机构的，应当采取名单制管理，并制定严格的准入准出标准与程序。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商业银行应当根据自身内部控制水平和风险管理能力，制定适合叙做保理融资业务的应收账款标准，规范应收账款范围。商业银行不得基于不合法基础交易合同、寄售合同、未来应收账款、权属不清的应收账款、因票据或其他有价证券而产生的付款请求权等开展保理融资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未来应收账款是指合同项下卖方义务未履行完毕的预期应收账款。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权属不清的应收账款是指权属具有不确定性的应收账款，包括但不限于已在其他银行或商业保理公司等第三方办理出质或转让的应收账款。获得质权人书面同意解押并放弃抵质押权利和获得受让人书面同意转让应收账款权属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因票据或其他有价证券而产生的付款请求权是指票据或其他有价证券的持票人无需持有票据或有价证券产生的基础交易应收账款单据，仅依据票据或有价证券本身即可向票据或有价证券主债务人请求按票据或有价证券上记载的金额付款的权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商业银行受理保理融资业务时，应当严格审核卖方和/或买方的资信、经营及财务状况，分析拟做保理融资的应收账款情况，包括是否出质、转让以及账龄结构等，合理判断买方的付款意愿、付款能力以及卖方的回购能力，审查买卖合同等资料的真实性与合法性。对因提供服务、承接工程或其他非销售商品原因所产生的应收账款，或买卖双方为关联企业的应收账款，应当从严审查交易背景真实性和定价的合理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商业银行应当对客户和交易等相关情况进行有效的尽职调查，重点对交易对手、交易商品及贸易习惯等内容进行审核，并通过审核单据原件或银行认可的电子贸易信息等方式，确认相关交易行为真实合理存在，避免客户通过虚开发票或伪造贸易合同、物流、回款等手段恶意骗取融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单保理融资中，商业银行除应当严格审核基础交易的真实性外，还需确定卖方或买方一方比照流动资金贷款进行授信管理，严格实施受理与调查、风险评估与评价、支付和监测等全流程控制。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商业银行办理单保理业务时，应当在保理合同中原则上要求卖方开立用于应收账款回笼的保理专户等相关账户。商业银行应当指定专人对保理专户资金进出情况进行监控，确保资金首先用于归还银行融资。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商业银行应当充分考虑融资利息、保理手续费、现金折扣、历史收款记录、行业特点等应收账款稀释因素，合理确定保理业务融资比例。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商业银行开展保理融资业务，应当根据应收账款的付款期限等因素合理确定融资期限。商业银行可将应收账款到期日与融资到期日间的时间期限设置为宽限期。宽限期应当根据买卖双方历史交易记录、行业惯例等因素合理确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商业银行提供保理融资时，有追索权保理按融资金额计入债权人征信信息;无追索权保理不计入债权人及债务人征信信息。商业银行进行担保付款或垫款时，应当按保理业务的风险实质，决定计入债权人或债务人的征信信息。</w:t>
      </w:r>
    </w:p>
    <w:p>
      <w:pPr>
        <w:spacing w:after="156" w:afterLines="50" w:line="360" w:lineRule="auto"/>
        <w:ind w:firstLine="482" w:firstLineChars="200"/>
        <w:outlineLvl w:val="0"/>
        <w:rPr>
          <w:rFonts w:cs="宋体" w:asciiTheme="majorEastAsia" w:hAnsiTheme="majorEastAsia" w:eastAsiaTheme="majorEastAsia"/>
          <w:b/>
          <w:bCs/>
        </w:rPr>
      </w:pPr>
      <w:bookmarkStart w:id="116" w:name="_Toc14133"/>
      <w:r>
        <w:rPr>
          <w:rFonts w:hint="eastAsia" w:cs="宋体" w:asciiTheme="majorEastAsia" w:hAnsiTheme="majorEastAsia" w:eastAsiaTheme="majorEastAsia"/>
          <w:b/>
          <w:bCs/>
        </w:rPr>
        <w:t>第四章保理业务风险管理</w:t>
      </w:r>
      <w:bookmarkEnd w:id="11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商业银行应当科学审慎制定贸易融资业务发展战略，并纳入全行统一战略规划，建立科学有效的贸易融资业务决策程序和激励约束机制，有效防范与控制保理业务风险。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商业银行应当制定详细规范的保理业务管理办法和操作规程，明确业务范围、相关部门职能分工、授信和融资制度、业务操作流程以及风险管控、监测和处置等政策。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 商业银行应当定期评估保理业务政策和程序的有效性，加强内部审计监督，确保业务稳健运行。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 保理业务规模较大、复杂度较高的商业银行，必须设立专门的保理业务部门或团队，配备专业的从业人员，负责产品研发、业务操作、日常管理和风险控制等工作。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 商业银行应当直接开展保理业务，不得将应收账款的催收、管理等业务外包给第三方机构。</w:t>
      </w:r>
    </w:p>
    <w:p>
      <w:pPr>
        <w:spacing w:after="156" w:afterLines="50" w:line="360" w:lineRule="auto"/>
        <w:ind w:firstLine="480" w:firstLineChars="200"/>
        <w:rPr>
          <w:rFonts w:cs="宋体" w:asciiTheme="majorEastAsia" w:hAnsiTheme="majorEastAsia" w:eastAsiaTheme="majorEastAsia"/>
          <w:color w:val="0000FF"/>
        </w:rPr>
      </w:pPr>
      <w:r>
        <w:rPr>
          <w:rFonts w:hint="eastAsia" w:cs="宋体" w:asciiTheme="majorEastAsia" w:hAnsiTheme="majorEastAsia" w:eastAsiaTheme="majorEastAsia"/>
          <w:color w:val="0000FF"/>
        </w:rPr>
        <w:t>第二十六条 商业银行应当将保理业务纳入统一授信管理，明确各类保理业务涉及的风险类别，对卖方融资风险、买方付款风险、保理机构风险分别进行专项管理。</w:t>
      </w:r>
    </w:p>
    <w:p>
      <w:pPr>
        <w:spacing w:after="156" w:afterLines="50" w:line="360" w:lineRule="auto"/>
        <w:ind w:firstLine="480" w:firstLineChars="200"/>
        <w:rPr>
          <w:rFonts w:cs="宋体" w:asciiTheme="majorEastAsia" w:hAnsiTheme="majorEastAsia" w:eastAsiaTheme="majorEastAsia"/>
          <w:color w:val="0000FF"/>
        </w:rPr>
      </w:pPr>
      <w:r>
        <w:rPr>
          <w:rFonts w:hint="eastAsia" w:cs="宋体" w:asciiTheme="majorEastAsia" w:hAnsiTheme="majorEastAsia" w:eastAsiaTheme="majorEastAsia"/>
          <w:color w:val="0000FF"/>
        </w:rPr>
        <w:t>第二十七条 商业银行应当建立全行统一的保理业务授权管理体系，由总行自上而下实施授权管理，不得办理未经授权或超授权的保理业务。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 商业银行应当针对保理业务建立完整的前中后台管理流程，前中后台应当职责明晰并相对独立。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 商业银行应当将保理业务的风险管理纳入全面风险管理体系，动态关注卖方或买方经营、管理、财务及资金流向等风险信息，定期与卖方或买方对账，有效管控保理业务风险。</w:t>
      </w:r>
    </w:p>
    <w:p>
      <w:pPr>
        <w:spacing w:after="156" w:afterLines="50" w:line="360" w:lineRule="auto"/>
        <w:ind w:firstLine="480" w:firstLineChars="200"/>
        <w:rPr>
          <w:rFonts w:cs="宋体" w:asciiTheme="majorEastAsia" w:hAnsiTheme="majorEastAsia" w:eastAsiaTheme="majorEastAsia"/>
          <w:color w:val="0000FF"/>
        </w:rPr>
      </w:pPr>
      <w:r>
        <w:rPr>
          <w:rFonts w:hint="eastAsia" w:cs="宋体" w:asciiTheme="majorEastAsia" w:hAnsiTheme="majorEastAsia" w:eastAsiaTheme="majorEastAsia"/>
          <w:color w:val="0000FF"/>
        </w:rPr>
        <w:t>第三十条 商业银行应当加强保理业务IT系统建设。保理业务规模较大、复杂程度较高的银行应当建立电子化业务操作和管理系统，对授信额度、交易数据和业务流程等方面进行实时监控，并做好数据存储及备份工作。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第三十一条 当发生买方信用风险，保理银行履行垫付款义务后，应当将垫款计入表内，列为不良贷款进行管理。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第三十二条 商业银行应当按照《商业银行资本管理办法（试行）》要求，按保理业务的风险实质，计量风险加权资产，并计提资本。</w:t>
      </w:r>
    </w:p>
    <w:p>
      <w:pPr>
        <w:spacing w:after="156" w:afterLines="50" w:line="360" w:lineRule="auto"/>
        <w:ind w:firstLine="482" w:firstLineChars="200"/>
        <w:outlineLvl w:val="0"/>
        <w:rPr>
          <w:rFonts w:cs="宋体" w:asciiTheme="majorEastAsia" w:hAnsiTheme="majorEastAsia" w:eastAsiaTheme="majorEastAsia"/>
          <w:b/>
          <w:bCs/>
        </w:rPr>
      </w:pPr>
      <w:bookmarkStart w:id="117" w:name="_Toc28582"/>
      <w:r>
        <w:rPr>
          <w:rFonts w:hint="eastAsia" w:cs="宋体" w:asciiTheme="majorEastAsia" w:hAnsiTheme="majorEastAsia" w:eastAsiaTheme="majorEastAsia"/>
          <w:b/>
          <w:bCs/>
        </w:rPr>
        <w:t>第五章法律责任</w:t>
      </w:r>
      <w:bookmarkEnd w:id="11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第三十三条 商业银行违反本办法规定经营保理业务的，由银监会及其派出机构责令其限期改正。商业银行有下列情形之一的，银监会及其派出机构可采取《中华人民共和国银行业监督管理法》第三十七条规定的监管措施：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（一）未按要求制定保理业务管理办法和操作规程即开展保理业务的；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（二）违反本办法第十三条、十六条规定叙做保理业务的；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（三）业务审查、融资管理、风险处置等流程未尽职的。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第三十四条 商业银行经营保理业务时存在下列情形之一的，银监会及其派出机构除按本办法第三十三条采取监管措施外，还可根据《中华人民共和国银行业监督管理法》第四十六、第四十八条实施处罚：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（一）因保理业务经营管理不当发生信用风险重大损失、出现严重操作风险损失事件的；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（二）通过非公允关联交易或变相降低标准违规办理保理业务的；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（三）未真实准确对垫款等进行会计记录或以虚假会计处理掩盖保理业务风险实质的；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（四）严重违反本办法规定的其他情形。</w:t>
      </w:r>
    </w:p>
    <w:p>
      <w:pPr>
        <w:spacing w:after="156" w:afterLines="50" w:line="360" w:lineRule="auto"/>
        <w:ind w:firstLine="482" w:firstLineChars="200"/>
        <w:outlineLvl w:val="0"/>
        <w:rPr>
          <w:rFonts w:cs="宋体" w:asciiTheme="majorEastAsia" w:hAnsiTheme="majorEastAsia" w:eastAsiaTheme="majorEastAsia"/>
          <w:b/>
          <w:bCs/>
        </w:rPr>
      </w:pPr>
      <w:bookmarkStart w:id="118" w:name="_Toc17571"/>
      <w:r>
        <w:rPr>
          <w:rFonts w:hint="eastAsia" w:cs="宋体" w:asciiTheme="majorEastAsia" w:hAnsiTheme="majorEastAsia" w:eastAsiaTheme="majorEastAsia"/>
          <w:b/>
          <w:bCs/>
        </w:rPr>
        <w:t>第六章附则</w:t>
      </w:r>
      <w:bookmarkEnd w:id="118"/>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第三十五条 政策性银行、外国银行分行、农村合作银行、农村信用社、财务公司等其他银行业金融机构开展保理业务的，参照本办法执行。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第三十六条 中国银行业协会应当充分发挥自律、协调、规范职能，建立并持续完善银行保理业务的行业自律机制。</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第三十七条 本办法由中国银监会负责解释。</w:t>
      </w:r>
    </w:p>
    <w:p>
      <w:pPr>
        <w:pStyle w:val="2"/>
        <w:numPr>
          <w:ilvl w:val="0"/>
          <w:numId w:val="0"/>
        </w:numPr>
        <w:ind w:left="922" w:leftChars="0" w:hanging="440" w:firstLineChars="0"/>
      </w:pPr>
      <w:bookmarkStart w:id="119" w:name="_Toc25457"/>
      <w:r>
        <w:rPr>
          <w:rFonts w:cs="宋体" w:asciiTheme="majorEastAsia" w:hAnsiTheme="majorEastAsia" w:eastAsiaTheme="majorEastAsia"/>
          <w:b/>
          <w:bCs/>
          <w:sz w:val="24"/>
          <w:szCs w:val="24"/>
          <w:lang w:val="en-US" w:eastAsia="zh-CN" w:bidi="ar-SA"/>
        </w:rPr>
        <w:t>19.</w:t>
      </w:r>
      <w:r>
        <w:rPr>
          <w:rFonts w:hint="eastAsia"/>
        </w:rPr>
        <w:t>《票据交易管理办法》</w:t>
      </w:r>
      <w:bookmarkEnd w:id="119"/>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发文机构：中国人民银行</w:t>
      </w:r>
      <w:r>
        <w:rPr>
          <w:rFonts w:hint="eastAsia" w:cs="宋体" w:asciiTheme="majorEastAsia" w:hAnsiTheme="majorEastAsia" w:eastAsiaTheme="majorEastAsia"/>
        </w:rPr>
        <w:tab/>
      </w:r>
      <w:r>
        <w:rPr>
          <w:rFonts w:hint="eastAsia" w:cs="宋体" w:asciiTheme="majorEastAsia" w:hAnsiTheme="majorEastAsia" w:eastAsiaTheme="majorEastAsia"/>
        </w:rPr>
        <w:t>文号：中国人民银行公告[2016]第29号</w:t>
      </w:r>
    </w:p>
    <w:p>
      <w:pPr>
        <w:spacing w:after="156" w:afterLines="50" w:line="360" w:lineRule="auto"/>
        <w:ind w:firstLine="482" w:firstLineChars="200"/>
        <w:outlineLvl w:val="0"/>
        <w:rPr>
          <w:rFonts w:cs="宋体" w:asciiTheme="majorEastAsia" w:hAnsiTheme="majorEastAsia" w:eastAsiaTheme="majorEastAsia"/>
          <w:b/>
          <w:bCs/>
        </w:rPr>
      </w:pPr>
      <w:bookmarkStart w:id="120" w:name="_Toc9128"/>
      <w:r>
        <w:rPr>
          <w:rFonts w:hint="eastAsia" w:cs="宋体" w:asciiTheme="majorEastAsia" w:hAnsiTheme="majorEastAsia" w:eastAsiaTheme="majorEastAsia"/>
          <w:b/>
          <w:bCs/>
        </w:rPr>
        <w:t>第一章总则</w:t>
      </w:r>
      <w:bookmarkEnd w:id="12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规范票据市场交易行为，防范交易风险，维护交易各方合法权益，促进票据市场健康发展，依据《中华人民共和国中国人民银行法》、《中华人民共和国票据法》、《中华人民共和国电子签名法》等有关法律法规，制定本办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市场参与者从事票据交易应当遵守本办法，本办法所称票据包括但不限于纸质或者电子形式的银行承兑汇票、商业承兑汇票等可交易票据。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票据交易应当遵循公平自愿、诚信自律、风险自担的原则。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中国人民银行依法对票据市场进行监督管理，并根据宏观调控需要对票据市场进行宏观审慎管理。</w:t>
      </w:r>
    </w:p>
    <w:p>
      <w:pPr>
        <w:spacing w:after="156" w:afterLines="50" w:line="360" w:lineRule="auto"/>
        <w:ind w:firstLine="482" w:firstLineChars="200"/>
        <w:outlineLvl w:val="0"/>
        <w:rPr>
          <w:rFonts w:cs="宋体" w:asciiTheme="majorEastAsia" w:hAnsiTheme="majorEastAsia" w:eastAsiaTheme="majorEastAsia"/>
          <w:b/>
          <w:bCs/>
        </w:rPr>
      </w:pPr>
      <w:bookmarkStart w:id="121" w:name="_Toc27470"/>
      <w:r>
        <w:rPr>
          <w:rFonts w:hint="eastAsia" w:cs="宋体" w:asciiTheme="majorEastAsia" w:hAnsiTheme="majorEastAsia" w:eastAsiaTheme="majorEastAsia"/>
          <w:b/>
          <w:bCs/>
        </w:rPr>
        <w:t>第二章票据市场参与者</w:t>
      </w:r>
      <w:bookmarkEnd w:id="121"/>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票据市场参与者是指可以从事票据交易的市场主体，包括：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法人类参与者。指金融机构法人，包括政策性银行、商业银行及其授权的分支机构，农村信用社、企业集团财务公司、信托公司、证券公司、基金管理公司、期货公司、保险公司等经金融监督管理部门许可的金融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非法人类参与者。指金融机构等作为资产管理人，在依法合规的前提下，接受客户的委托或者授权，按照与客户约定的投资计划和方式开展资产管理业务所设立的各类投资产品，包括证券投资基金、资产管理计划、银行理财产品、信托计划、保险产品、住房公积金、社会保障基金、企业年金、养老基金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(三)中国人民银行确定的其他市场参与者。</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法人类参与者应当符合以下条件：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(一)依法合规设立。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(二)已制定票据业务内部管理制度和操作规程，具有健全的公司治理结构和完善的内部控制、风险管理机制。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(三)有熟悉票据市场和专门从事票据交易的人员。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(四)具备相应的风险识别和承担能力，知悉并承担票据投资风险。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(五)中国人民银行要求的其他条件。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非法人类参与者应当符合以下条件：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(一)产品设立符合相关法律法规和监管规定，并已依法在相关金融监督管理部门获得批准或者完成备案。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(二)产品已委托具有托管资格的金融机构(以下简称托管人)进行独立托管，托管人对委托人资金实行分账管理、单独核算。</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(三)产品管理人具有相关金融监督管理部门批准的资产管理业务资格。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法人类参与者开展票据交易，应当遵守有关法律法规，强化内控制度建设，完善部门和岗位设置，并采取切实措施持续提高相关人员业务能力。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非法人类参与者开展票据交易，由其资产管理人代表其行使票据权利并以受托管理的资产承担相应的民事责任。资产管理人从事资管业务的部门、岗位、人员及其管理的资产应当与其自营业务相互独立。</w:t>
      </w:r>
    </w:p>
    <w:p>
      <w:pPr>
        <w:spacing w:after="156" w:afterLines="50" w:line="360" w:lineRule="auto"/>
        <w:ind w:firstLine="482" w:firstLineChars="200"/>
        <w:outlineLvl w:val="0"/>
        <w:rPr>
          <w:rFonts w:cs="宋体" w:asciiTheme="majorEastAsia" w:hAnsiTheme="majorEastAsia" w:eastAsiaTheme="majorEastAsia"/>
          <w:b/>
          <w:bCs/>
        </w:rPr>
      </w:pPr>
      <w:bookmarkStart w:id="122" w:name="_Toc8429"/>
      <w:r>
        <w:rPr>
          <w:rFonts w:hint="eastAsia" w:cs="宋体" w:asciiTheme="majorEastAsia" w:hAnsiTheme="majorEastAsia" w:eastAsiaTheme="majorEastAsia"/>
          <w:b/>
          <w:bCs/>
        </w:rPr>
        <w:t>第三章票据市场基础设施</w:t>
      </w:r>
      <w:bookmarkEnd w:id="12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票据市场基础设施是指提供票据交易、登记托管、清算结算、信息服务的机构。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票据市场基础设施应当经中国人民银行认可。中国人民银行对票据市场基础设施开展票据相关业务进行监督管理。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票据市场基础设施可以为市场参与者提供以下服务：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(一)组织票据交易，公布票据交易即时行情。</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(二)票据登记托管。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(三)票据交易的清算结算。</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(四)票据信息服务。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(五)中国人民银行认可的其他服务。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票据市场基础设施按照金融市场基础设施建设有关标准进行系统建设与管理。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票据市场基础设施应当从其业务收入中提取一定比例的金额设立风险基金并存入开户银行专门账户，用于弥补因违约交收、技术故障、操作失误、不可抗力等造成的相关损失。</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上海票据交易所是中国人民银行指定的提供票据交易、登记托管、清算结算和信息服务的机构。</w:t>
      </w:r>
    </w:p>
    <w:p>
      <w:pPr>
        <w:spacing w:after="156" w:afterLines="50" w:line="360" w:lineRule="auto"/>
        <w:ind w:firstLine="482" w:firstLineChars="200"/>
        <w:outlineLvl w:val="0"/>
        <w:rPr>
          <w:rFonts w:cs="宋体" w:asciiTheme="majorEastAsia" w:hAnsiTheme="majorEastAsia" w:eastAsiaTheme="majorEastAsia"/>
          <w:b/>
          <w:bCs/>
        </w:rPr>
      </w:pPr>
      <w:bookmarkStart w:id="123" w:name="_Toc10767"/>
      <w:r>
        <w:rPr>
          <w:rFonts w:hint="eastAsia" w:cs="宋体" w:asciiTheme="majorEastAsia" w:hAnsiTheme="majorEastAsia" w:eastAsiaTheme="majorEastAsia"/>
          <w:b/>
          <w:bCs/>
        </w:rPr>
        <w:t>第四章票据信息登记与电子化</w:t>
      </w:r>
      <w:bookmarkEnd w:id="12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纸质票据贴现前，金融机构办理承兑、质押、保证等业务，应当不晚于业务办理的次一工作日在票据市场基础设施完成相关信息登记工作。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纸质商业承兑汇票完成承兑后，承兑人开户行应当根据承兑人委托代其进行承兑信息登记。承兑信息未能及时登记的，持票人有权要求承兑人补充登记承兑信息。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纸质票据票面信息与登记信息不一致的，以纸质票据票面信息为准。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贴现人办理纸质票据贴现时，应当通过票据市场基础设施查询票据承兑信息，并在确认纸质票据必须记载事项与已登记承兑信息一致后，为贴现申请人办理贴现，贴现申请人无需提供合同、发票等资料；信息不存在或者纸质票据必须记载事项与已登记承兑信息不一致的，不得办理贴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本款所称纸质票据必须记载事项指《中华人民共和国票据法》第二十二条规定的票据必须记载事项。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贴现人完成纸质票据贴现后，应当不晚于贴现次一工作日在票据市场基础设施完成贴现信息登记。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承兑人或者承兑人开户行收到挂失止付通知或者公示催告等司法文书并确认相关票据未付款的，应当于当日依法暂停支付并在票据市场基础设施登记或者委托开户行在票据市场基础设施登记相关信息。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金融机构通过票据市场基础设施进行相关业务信息登记，因信息登记错误给他人造成损失的，应当承担赔偿责任。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贴现人办理纸质票据贴现后，应当在票据上记载“已电子登记权属”字样，该票据不再以纸质形式进行背书转让、设立质押或者其他交易行为。贴现人应当对纸质票据妥善保管。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已贴现票据背书通过电子形式办理。电子形式背书是指在票据市场基础设施以数据电文形式记载的背书，和纸质形式背书具有同等法律效力。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 纸质票据电子形式背书后，由票据权利人通过票据市场基础设施通知保管人变更寄存人的方式完成交付。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 贴现人可以按市场化原则选择商业银行对纸质票据进行保证增信。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保证增信行对纸质票据进行保管并为贴现人的偿付责任进行先行偿付。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 已贴现票据应当通过票据市场基础设施办理背书转让、质押、保证、提示付款等票据业务。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 纸质票据贴现后，其保管人可以向承兑人发起付款确认。付款确认可以采用实物确认或者影像确认。</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实物确认是指票据保管人将票据实物送达承兑人或者承兑人开户行，由承兑人在对票据真实性和背书连续性审查的基础上对到期付款责任进行确认。</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影像确认是指票据保管人将票据影像信息发送至承兑人或者承兑人开户行，由承兑人在对承兑信息和背书连续性审查的基础上对到期付款责任进行确认。</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承兑人要求实物确认的，银行承兑汇票保管人应当将票据送达承兑人，实物确认后，纸质票据由其承兑人代票据权利人妥善保管；商业承兑汇票保管人应当将票据通过承兑人开户行送达承兑人进行实物确认，实物确认后，纸质票据由商业承兑汇票开户行代票据权利人妥善保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 实物确认与影像确认具有同等效力。承兑人或者承兑人开户行进行付款确认后，除挂失止付、公示催告等合法抗辩情形外，应当在持票人提示付款后付款。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 承兑人收到票据影像确认请求或者票据实物后，应当在三个工作日内做出或者委托其开户行做出同意或者拒绝到期付款的应答。拒绝到期付款的，应当说明理由。</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 票据保管人应当采取切实措施保证纸质票据不被挪用、污损、涂改和灭失，并承担因保管不善引发的相关法律责任。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第三十条 电子商业汇票签发、承兑、质押、保证、贴现等信息应当通过电子商业汇票系统同步传送至票据市场基础设施。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第三十一条 电子商业汇票一经承兑即视同承兑人已进行付款确认。</w:t>
      </w:r>
    </w:p>
    <w:p>
      <w:pPr>
        <w:spacing w:after="156" w:afterLines="50" w:line="360" w:lineRule="auto"/>
        <w:ind w:firstLine="482" w:firstLineChars="200"/>
        <w:outlineLvl w:val="0"/>
        <w:rPr>
          <w:rFonts w:cs="宋体" w:asciiTheme="majorEastAsia" w:hAnsiTheme="majorEastAsia" w:eastAsiaTheme="majorEastAsia"/>
          <w:b/>
          <w:bCs/>
        </w:rPr>
      </w:pPr>
      <w:bookmarkStart w:id="124" w:name="_Toc24986"/>
      <w:r>
        <w:rPr>
          <w:rFonts w:hint="eastAsia" w:cs="宋体" w:asciiTheme="majorEastAsia" w:hAnsiTheme="majorEastAsia" w:eastAsiaTheme="majorEastAsia"/>
          <w:b/>
          <w:bCs/>
        </w:rPr>
        <w:t>第五章票据登记与托管</w:t>
      </w:r>
      <w:bookmarkEnd w:id="12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第三十二条 票据登记是指金融机构将票据权属在票据市场基础设施电子簿记系统予以记载的行为。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第三十三条 票据托管是指票据市场基础设施根据票据权利人委托对其持有票据的相关权益进行管理和维护的行为。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第三十四条 市场参与者应当在票据市场基础设施开立票据托管账户。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市场参与者开立票据托管账户时，应当向票据市场基础设施提出申请，并保证所提交的开户资料真实、准确、完整。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第三十五条 票据托管账户采用实名制，不得出租、出借或者转让。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第三十六条 一个市场参与者只能开立一个票据托管账户，中国人民银行另有规定的除外。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具有法人资格的市场参与者应当以法人名义开立票据托管账户；经法人授权的分支机构应当以分支机构名义开立票据托管账户；非法人市场参与者应当以产品名义单独开立票据托管账户。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第三十七条 贴现人应当于票据交易前在票据市场基础设施完成纸质票据登记工作，确保其提交的票据登记信息真实、有效，并承担相应法律责任。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第三十八条 票据市场基础设施依据电子商业汇票系统相关信息为持票人完成电子票据登记。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第三十九条 因票据的交易过户、非交易过户等原因引起票据托管账户余额变化的，票据市场基础设施应当为权利人办理票据变更登记。</w:t>
      </w:r>
    </w:p>
    <w:p>
      <w:pPr>
        <w:spacing w:after="156" w:afterLines="50" w:line="360" w:lineRule="auto"/>
        <w:ind w:firstLine="482" w:firstLineChars="200"/>
        <w:outlineLvl w:val="0"/>
        <w:rPr>
          <w:rFonts w:cs="宋体" w:asciiTheme="majorEastAsia" w:hAnsiTheme="majorEastAsia" w:eastAsiaTheme="majorEastAsia"/>
          <w:b/>
          <w:bCs/>
        </w:rPr>
      </w:pPr>
      <w:bookmarkStart w:id="125" w:name="_Toc3924"/>
      <w:r>
        <w:rPr>
          <w:rFonts w:hint="eastAsia" w:cs="宋体" w:asciiTheme="majorEastAsia" w:hAnsiTheme="majorEastAsia" w:eastAsiaTheme="majorEastAsia"/>
          <w:b/>
          <w:bCs/>
        </w:rPr>
        <w:t>第六章票据交易</w:t>
      </w:r>
      <w:bookmarkEnd w:id="12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第四十条 票据交易采取全国统一的运营管理模式，通过票据市场基础设施进行。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第四十一条 票据交易包括转贴现、质押式回购和买断式回购等。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转贴现是指卖出方将未到期的已贴现票据向买入方转让的交易行为。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质押式回购是指正回购方在将票据出质给逆回购方融入资金的同时，双方约定在未来某一日期由正回购方按约定金额向逆回购方返还资金、逆回购方向正回购方返还原出质票据的交易行为。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买断式回购是指正回购方将票据卖给逆回购方的同时，双方约定在未来某一日期，正回购方再以约定价格从逆回购方买回票据的交易行为。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第四十二条 市场参与者完成票据登记后即可以开展交易，或者在付款确认、保证增信后开展交易。贴现人申请保证增信的，应当在首次交易前完成。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第四十三条 票据到期后偿付顺序如下：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(一)票据未经承兑人付款确认和保证增信即交易的，若承兑人未付款，应当由贴现人先行偿付。该票据在交易后又经承兑人付款确认的，应当由承兑人付款；若承兑人未付款，应当由贴现人先行偿付。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(二)票据经承兑人付款确认且未保证增信即交易的，应当由承兑人付款；若承兑人未付款，应当由贴现人先行偿付。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(三)票据保证增信后即交易且未经承兑人付款确认的，若承兑人未付款，应当由保证增信行先行偿付；保证增信行未偿付的，应当由贴现人先行偿付。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(四)票据保证增信后且经承兑人付款确认的，应当由承兑人付款；若承兑人未付款，应当由保证增信行先行偿付；保证增信行未偿付的，应当由贴现人先行偿付。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第四十四条 票据交易应当通过票据市场基础设施进行并生成成交单。成交单应当对交易日期、交易品种、交易利率等要素做出明确约定。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票据成交单、票据交易主协议及补充协议(若有)构成交易双方完整的交易合同。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票据交易合同一经成立，交易双方应当认真履行，不得擅自变更或者解除合同。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第四十五条 票据交易无需提供转贴现凭证、贴现凭证复印件、查询查复书及票面复印件等纸质资料。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第四十六条 票据贴现、转贴现的计息期限，从贴现、转贴现之日起至票据到期日止，到期日遇法定节假日的顺延至下一工作日。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第四十七条 质押式回购和买断式回购最短期限为一天，并应当小于票据剩余期限。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第四十八条 质押式回购的回购金额不得超过质押票据的票面总额。</w:t>
      </w:r>
    </w:p>
    <w:p>
      <w:pPr>
        <w:spacing w:after="156" w:afterLines="50" w:line="360" w:lineRule="auto"/>
        <w:ind w:firstLine="482" w:firstLineChars="200"/>
        <w:outlineLvl w:val="0"/>
        <w:rPr>
          <w:rFonts w:cs="宋体" w:asciiTheme="majorEastAsia" w:hAnsiTheme="majorEastAsia" w:eastAsiaTheme="majorEastAsia"/>
          <w:b/>
          <w:bCs/>
        </w:rPr>
      </w:pPr>
      <w:bookmarkStart w:id="126" w:name="_Toc24965"/>
      <w:r>
        <w:rPr>
          <w:rFonts w:hint="eastAsia" w:cs="宋体" w:asciiTheme="majorEastAsia" w:hAnsiTheme="majorEastAsia" w:eastAsiaTheme="majorEastAsia"/>
          <w:b/>
          <w:bCs/>
        </w:rPr>
        <w:t>第七章票据交易结算与到期处理</w:t>
      </w:r>
      <w:bookmarkEnd w:id="12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第四十九条 票据交易的结算通过票据市场基础设施电子簿记系统进行，包括票款对付和纯票过户。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票款对付是指结算双方同步办理票据过户和资金支付并互为条件的结算方式。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纯票过户是指结算双方的票据过户与资金支付相互独立的结算方式。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第五十条 市场参与者开展票据交易应当采用票款对付，同一法人分支机构间的票据交易可以采用纯票过户。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第五十一条 已在大额支付系统开立清算账户的市场参与者，应当通过其在大额支付系统的清算账户办理票款对付的资金结算。</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未在大额支付系统开立清算账户的市场参与者，应当委托票据市场基础设施代理票款对付的资金结算。</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第五十二条 票据市场基础设施代理票款对付的资金结算时，应当通过其在大额支付系统的清算账户进行。票据市场基础设施应当在该账户下，为委托其代理资金结算的市场参与者开立票据结算资金专户。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第五十三条 交易双方应当根据合同约定，确保在约定结算日有用于结算的足额票据和资金。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第五十四条 在票据交易达成后结算完成之前，不得动用该笔交易项下用于结算的票据、资金或者担保物。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第五十五条 办理法院强制执行、税收、债权债务承继、赠与等非交易票据过户的，票据市场基础设施应当要求当事人提交合法有效的法律文件。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第五十六条 持票人在提示付款期内通过票据市场基础设施提示付款的，承兑人应当在提示付款当日进行应答或者委托其开户行进行应答。</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承兑人存在合法抗辩事由拒绝付款的，应当在提示付款当日出具或者委托其开户行出具拒绝付款证明，并通过票据市场基础设施通知持票人。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承兑人或者承兑人开户行在提示付款当日未做出应答的，视为拒绝付款，票据市场基础设施提供拒绝付款证明并通知持票人。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第五十七条 商业承兑汇票承兑人在提示付款当日同意付款的，承兑人开户行应当根据承兑人账户余额情况予以处理。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(一)承兑人账户余额足够支付票款的，承兑人开户行应当代承兑人做出同意付款应答，并于提示付款日向持票人付款。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(二)承兑人账户余额不足以支付票款的，则视同承兑人拒绝付款。承兑人开户行应当于提示付款日代承兑人做出拒付应答并说明理由，同时通过票据市场基础设施通知持票人。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第五十八条 银行承兑汇票的承兑人已于到期前进行付款确认的，票据市场基础设施应当根据承兑人的委托于提示付款日代承兑人发送指令划付资金至持票人资金账户。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商业承兑汇票的承兑人已于到期前进行付款确认的，承兑人开户行应当根据承兑人委托于提示付款日扣划承兑人账户资金，并将相应款项划付至持票人资金账户。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第五十九条 保证增信行或者贴现人承担偿付责任时，应当委托票据市场基础设施代其发送指令划付资金至持票人资金账产。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第六十条 承兑人或者出票人付款后，票据保管人应当参照会计档案保管要求对票据进行保管。承兑人进行影像确认并付款的，可以凭票据市场基础设施的提示付款通知、划款通知以及留存的票据底卡联作为会计记账凭证。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第六十一条 票据发生法律纠纷时，依据有权申请人的请求，票据市场基础设施应当出具票据登记、托管和交易流转记录；票据保管人应当提供相应票据实物。</w:t>
      </w:r>
    </w:p>
    <w:p>
      <w:pPr>
        <w:spacing w:after="156" w:afterLines="50" w:line="360" w:lineRule="auto"/>
        <w:ind w:firstLine="482" w:firstLineChars="200"/>
        <w:outlineLvl w:val="0"/>
        <w:rPr>
          <w:rFonts w:cs="宋体" w:asciiTheme="majorEastAsia" w:hAnsiTheme="majorEastAsia" w:eastAsiaTheme="majorEastAsia"/>
          <w:b/>
          <w:bCs/>
        </w:rPr>
      </w:pPr>
      <w:bookmarkStart w:id="127" w:name="_Toc3975"/>
      <w:r>
        <w:rPr>
          <w:rFonts w:hint="eastAsia" w:cs="宋体" w:asciiTheme="majorEastAsia" w:hAnsiTheme="majorEastAsia" w:eastAsiaTheme="majorEastAsia"/>
          <w:b/>
          <w:bCs/>
        </w:rPr>
        <w:t>第八章附则</w:t>
      </w:r>
      <w:bookmarkEnd w:id="12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第六十二条 票据市场基础设施依照本办法及中国人民银行有关规定制定相关业务规则，报中国人民银行同意后施行。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第六十三条 本办法施行前制定的相关规定，与本办法相抵触的，以本办法为准。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第六十四条 本办法由中国人民银行负责解释。</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第六十五条 本办法自公布之日起施行，过渡期按照《中国人民银行办公厅关于做好票据交易平台接入准备工作的通知》(银办发〔2016〕224号)执行。</w:t>
      </w:r>
    </w:p>
    <w:p>
      <w:pPr>
        <w:pStyle w:val="2"/>
        <w:numPr>
          <w:ilvl w:val="0"/>
          <w:numId w:val="0"/>
        </w:numPr>
        <w:ind w:left="922" w:leftChars="0" w:hanging="440" w:firstLineChars="0"/>
      </w:pPr>
      <w:bookmarkStart w:id="128" w:name="_Toc13230"/>
      <w:r>
        <w:rPr>
          <w:rFonts w:cs="宋体" w:asciiTheme="majorEastAsia" w:hAnsiTheme="majorEastAsia" w:eastAsiaTheme="majorEastAsia"/>
          <w:b/>
          <w:bCs/>
          <w:sz w:val="24"/>
          <w:szCs w:val="24"/>
          <w:lang w:val="en-US" w:eastAsia="zh-CN" w:bidi="ar-SA"/>
        </w:rPr>
        <w:t>20.</w:t>
      </w:r>
      <w:r>
        <w:rPr>
          <w:rFonts w:hint="eastAsia"/>
        </w:rPr>
        <w:t>《标准化票据管理办法》</w:t>
      </w:r>
      <w:bookmarkEnd w:id="128"/>
    </w:p>
    <w:p>
      <w:pPr>
        <w:spacing w:after="156" w:afterLines="50" w:line="360" w:lineRule="auto"/>
        <w:ind w:firstLine="480" w:firstLineChars="200"/>
        <w:outlineLvl w:val="0"/>
        <w:rPr>
          <w:rFonts w:cs="宋体" w:asciiTheme="majorEastAsia" w:hAnsiTheme="majorEastAsia" w:eastAsiaTheme="majorEastAsia"/>
        </w:rPr>
      </w:pPr>
      <w:bookmarkStart w:id="129" w:name="_Toc10466"/>
      <w:r>
        <w:rPr>
          <w:rFonts w:hint="eastAsia" w:cs="宋体" w:asciiTheme="majorEastAsia" w:hAnsiTheme="majorEastAsia" w:eastAsiaTheme="majorEastAsia"/>
        </w:rPr>
        <w:t>发文机构：中国人民银行</w:t>
      </w:r>
      <w:r>
        <w:rPr>
          <w:rFonts w:hint="eastAsia" w:cs="宋体" w:asciiTheme="majorEastAsia" w:hAnsiTheme="majorEastAsia" w:eastAsiaTheme="majorEastAsia"/>
        </w:rPr>
        <w:tab/>
      </w:r>
      <w:r>
        <w:rPr>
          <w:rFonts w:hint="eastAsia" w:cs="宋体" w:asciiTheme="majorEastAsia" w:hAnsiTheme="majorEastAsia" w:eastAsiaTheme="majorEastAsia"/>
        </w:rPr>
        <w:t>文号：中国人民银行公告〔2020〕第6号</w:t>
      </w:r>
      <w:bookmarkEnd w:id="129"/>
    </w:p>
    <w:p>
      <w:pPr>
        <w:spacing w:after="156" w:afterLines="50" w:line="360" w:lineRule="auto"/>
        <w:ind w:firstLine="482" w:firstLineChars="200"/>
        <w:outlineLvl w:val="0"/>
        <w:rPr>
          <w:rFonts w:cs="宋体" w:asciiTheme="majorEastAsia" w:hAnsiTheme="majorEastAsia" w:eastAsiaTheme="majorEastAsia"/>
          <w:b/>
          <w:bCs/>
        </w:rPr>
      </w:pPr>
      <w:bookmarkStart w:id="130" w:name="_Toc8126"/>
      <w:r>
        <w:rPr>
          <w:rFonts w:hint="eastAsia" w:cs="宋体" w:asciiTheme="majorEastAsia" w:hAnsiTheme="majorEastAsia" w:eastAsiaTheme="majorEastAsia"/>
          <w:b/>
          <w:bCs/>
        </w:rPr>
        <w:t>第一章总则</w:t>
      </w:r>
      <w:bookmarkEnd w:id="13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规范标准化票据业务，支持中小金融机构流动性，服务中小企业融资和供应链金融发展，根据《中华人民共和国中国人民银行法》《中华人民共和国信托法》《中华人民共和国票据法》以及相关法律、行政法规，制定本办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本办法所称标准化票据，是指存托机构归集核心信用要素相似、期限相近的商业汇票组建基础资产池，以基础资产池产生的现金流为偿付支持而创设的等分化受益凭证。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标准化票据的创设和交易应根据市场需要，遵循公平自愿、诚信自律、风险自担的原则。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标准化票据属于货币市场工具，中国人民银行依法对标准化票据实施宏观调控和监督管理。</w:t>
      </w:r>
    </w:p>
    <w:p>
      <w:pPr>
        <w:spacing w:after="156" w:afterLines="50" w:line="360" w:lineRule="auto"/>
        <w:ind w:firstLine="482" w:firstLineChars="200"/>
        <w:outlineLvl w:val="0"/>
        <w:rPr>
          <w:rFonts w:cs="宋体" w:asciiTheme="majorEastAsia" w:hAnsiTheme="majorEastAsia" w:eastAsiaTheme="majorEastAsia"/>
          <w:b/>
          <w:bCs/>
        </w:rPr>
      </w:pPr>
      <w:bookmarkStart w:id="131" w:name="_Toc1396"/>
      <w:r>
        <w:rPr>
          <w:rFonts w:hint="eastAsia" w:cs="宋体" w:asciiTheme="majorEastAsia" w:hAnsiTheme="majorEastAsia" w:eastAsiaTheme="majorEastAsia"/>
          <w:b/>
          <w:bCs/>
        </w:rPr>
        <w:t>第二章主要参与机构</w:t>
      </w:r>
      <w:bookmarkEnd w:id="131"/>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本办法所称存托机构，是指为标准化票据提供基础资产归集、管理、创设及信息服务的机构。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存托机构应依照法律法规规定和存托协议约定，完成每只标准化票据相关的登记、托管、信息披露以及协助完成兑付、追索等，督促原始持票人、承兑人、承销商等相关机构履行法律法规规定及存托协议约定的义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存托机构应符合以下条件：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（一）熟悉票据和债券市场业务的商业银行或证券公司；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（二）具有与开展标准化票据存托业务相适应的从业人员、内控制度和业务设施等；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（三）财务状况良好，组织机构健全，内部控制规范，风险管理有效；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（四）信誉良好，最近两年内无重大违法、违规行为；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（五）法律法规和中国人民银行规定的其他条件。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本办法所称原始持票人，是指根据存托协议约定将符合条件的商业汇票完成存托，取得相应对价的商业汇票持票人。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原始持票人持有的商业汇票应真实、合法、有效，存托时以背书方式将基础资产权利完整转让，不得存在虚假或欺诈性存托，不得认购或变相认购以自己存托的商业汇票为基础资产的标准化票据。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本办法所称票据经纪机构，是指受存托机构委托，负责归集基础资产的金融机构。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票据经纪机构应票据业务活跃、市场信誉良好，有独立的票据经纪部门和完善的内控管理机制，具有专业从业人员和经纪渠道，票据经纪机构的票据经纪业务与票据自营业务应严格隔离。</w:t>
      </w:r>
    </w:p>
    <w:p>
      <w:pPr>
        <w:spacing w:after="156" w:afterLines="50" w:line="360" w:lineRule="auto"/>
        <w:ind w:firstLine="482" w:firstLineChars="200"/>
        <w:outlineLvl w:val="0"/>
        <w:rPr>
          <w:rFonts w:cs="宋体" w:asciiTheme="majorEastAsia" w:hAnsiTheme="majorEastAsia" w:eastAsiaTheme="majorEastAsia"/>
          <w:b/>
          <w:bCs/>
        </w:rPr>
      </w:pPr>
      <w:bookmarkStart w:id="132" w:name="_Toc19559"/>
      <w:r>
        <w:rPr>
          <w:rFonts w:hint="eastAsia" w:cs="宋体" w:asciiTheme="majorEastAsia" w:hAnsiTheme="majorEastAsia" w:eastAsiaTheme="majorEastAsia"/>
          <w:b/>
          <w:bCs/>
        </w:rPr>
        <w:t>第三章基础资产</w:t>
      </w:r>
      <w:bookmarkEnd w:id="13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基础资产应符合以下条件：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（一）承兑人、贴现行、保证人等信用主体的核心信用要素相似、期限相近；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（二）依法合规取得，权属明确、权利完整，无附带质押等权利负担；</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（三）可依法转让，无挂失止付、公示催告或被有关机关查封、冻结等限制票据权利的情形；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（四）承兑人、贴现行、保证人等信用主体和原始持票人最近两年内无重大违法、违规行为；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（五）法律法规和中国人民银行规定的其他条件。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标准化票据的基础资产应独立于存托机构等其他参与人的固有财产。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原始持票人、存托机构和标准化票据投资者应通过存托协议明确标准化票据所代表权益和各方权利义务。存托协议应符合法律法规及中国人民银行规定，并至少载明下列事项：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（一）创设目的；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（二）原始持票人、存托机构及相关机构名称和住所；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（三）标准化票据的规模、期限等基本情况；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（四）基础资产的种类、金额、期限、合法合规性、现金流预测分析等基本情况；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（五）基础资产现金流归集与分配程序；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（六）投资者范围和投资者取得标准化票据权利的形式、方法；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（七）标准化票据持有人大会召集程序、规则等安排；</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（八）信息披露、风险揭示要求与防范措施；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（九）原始持票人、存托机构、投资者的权利与义务。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投资者认购或受让标准化票据即成为存托协议当事人，视为其同意并遵守存托协议约定。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存托机构可自行归集或通过票据经纪机构归集基础资产。存托机构和票据经纪机构应对基础资产的真实性、合法性和有效性进行审查。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存托机构和票据经纪机构公开归集基础资产的，应明确归集规则，保证归集过程公平、公正、公开，严禁欺诈、误导、操纵、串通、利益输送等行为。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存托机构应委托票据市场基础设施为基础资产提供登记、托管、清算结算等服务。标准化票据存续期间，基础资产不得被交易、挪用或设置质押等权利负担。</w:t>
      </w:r>
    </w:p>
    <w:p>
      <w:pPr>
        <w:spacing w:after="156" w:afterLines="50" w:line="360" w:lineRule="auto"/>
        <w:ind w:firstLine="482" w:firstLineChars="200"/>
        <w:outlineLvl w:val="0"/>
        <w:rPr>
          <w:rFonts w:cs="宋体" w:asciiTheme="majorEastAsia" w:hAnsiTheme="majorEastAsia" w:eastAsiaTheme="majorEastAsia"/>
          <w:b/>
          <w:bCs/>
        </w:rPr>
      </w:pPr>
      <w:bookmarkStart w:id="133" w:name="_Toc19071"/>
      <w:r>
        <w:rPr>
          <w:rFonts w:hint="eastAsia" w:cs="宋体" w:asciiTheme="majorEastAsia" w:hAnsiTheme="majorEastAsia" w:eastAsiaTheme="majorEastAsia"/>
          <w:b/>
          <w:bCs/>
        </w:rPr>
        <w:t>第四章标准化票据创设</w:t>
      </w:r>
      <w:bookmarkEnd w:id="13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存托机构应在标准化票据创设前披露基础资产清单，并向投资者公布标准化票据的认购公告。公开归集基础资产的，存托机构或票据经纪机构应在基础资产归集前至少3个工作日发布基础资产申报公告。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标准化票据认购成功的次一工作日前，票据市场基础设施应完成基础资产的登记托管，标准化票据登记托管机构应完成标准化票据的登记托管。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存托机构可自行组织标准化票据认购或委托金融机构承销。标准化票据的承销适用《全国银行间债券市场金融债券发行管理办法》（中国人民银行令〔2005〕第1号发布）关于承销的规定。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标准化票据的登记托管、清算结算适用《银行间债券市场债券登记托管结算管理办法》（中国人民银行令〔2009〕第1号发布）及中国人民银行有关规定。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标准化票据的交易流通适用《全国银行间债券市场债券交易管理办法》（中国人民银行令〔2000〕第2号发布）的有关规定，在银行间债券市场和票据市场交易流通。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标准化票据适用于现券买卖、回购、远期等交易品种。</w:t>
      </w:r>
    </w:p>
    <w:p>
      <w:pPr>
        <w:spacing w:after="156" w:afterLines="50" w:line="360" w:lineRule="auto"/>
        <w:ind w:firstLine="482" w:firstLineChars="200"/>
        <w:outlineLvl w:val="0"/>
        <w:rPr>
          <w:rFonts w:cs="宋体" w:asciiTheme="majorEastAsia" w:hAnsiTheme="majorEastAsia" w:eastAsiaTheme="majorEastAsia"/>
          <w:b/>
          <w:bCs/>
        </w:rPr>
      </w:pPr>
      <w:bookmarkStart w:id="134" w:name="_Toc26068"/>
      <w:r>
        <w:rPr>
          <w:rFonts w:hint="eastAsia" w:cs="宋体" w:asciiTheme="majorEastAsia" w:hAnsiTheme="majorEastAsia" w:eastAsiaTheme="majorEastAsia"/>
          <w:b/>
          <w:bCs/>
        </w:rPr>
        <w:t>第五章信息披露</w:t>
      </w:r>
      <w:bookmarkEnd w:id="13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存托机构应在标准化票据创设前和存续期间依照本办法规定真实、准确、完整、及时披露对标准化票据投资价值判断有实质性影响的信息，不得有虚假记载、误导性陈述和重大遗漏。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存托机构应在标准化票据创设前至少1个工作日，披露存托协议、基础资产清单、信用主体的信用评级、认购公告等，在认购结束之日起1个工作日内披露标准化票据创设结果。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基础资产的信用主体为非上市公司，且在债券市场无信用信息披露的，存托机构应向投资者提供对标准化票据投资价值判断有实质性影响的信息。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存托机构应向投资者充分提示标准化票据可能涉及的各类风险，包括但不限于资产信用风险、集中度风险、操作风险、法律风险、关联关系风险等。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标准化票据存续期间，存托机构应及时披露基础资产兑付信息、信用主体涉及的重大经营问题或诉讼事项等内容。发生任何影响基础资产价值的重大事件，存托机构应自获得相关信息之日起3个工作日内向投资者披露。</w:t>
      </w:r>
    </w:p>
    <w:p>
      <w:pPr>
        <w:spacing w:after="156" w:afterLines="50" w:line="360" w:lineRule="auto"/>
        <w:ind w:firstLine="482" w:firstLineChars="200"/>
        <w:outlineLvl w:val="0"/>
        <w:rPr>
          <w:rFonts w:cs="宋体" w:asciiTheme="majorEastAsia" w:hAnsiTheme="majorEastAsia" w:eastAsiaTheme="majorEastAsia"/>
          <w:b/>
          <w:bCs/>
        </w:rPr>
      </w:pPr>
      <w:bookmarkStart w:id="135" w:name="_Toc26540"/>
      <w:r>
        <w:rPr>
          <w:rFonts w:hint="eastAsia" w:cs="宋体" w:asciiTheme="majorEastAsia" w:hAnsiTheme="majorEastAsia" w:eastAsiaTheme="majorEastAsia"/>
          <w:b/>
          <w:bCs/>
        </w:rPr>
        <w:t>第六章投资者保护</w:t>
      </w:r>
      <w:bookmarkEnd w:id="13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 标准化票据的持有人依照相关法律法规和合同约定，享有以下权利：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（一）参与标准化票据的收益分配；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（二）依法处置标准化票据；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（三）监督存托机构对基础资产的管理情况，并有权要求其对相关情况作出说明；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（四）按照相关要求参加标准化票据持有人大会，并对审议事项行使表决权；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（五）按规定或约定的时间和方式获得标准化票据相关信息披露文件，查阅或复制标准化票据相关文件；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（六）标准化票据相关合同约定的其他权利。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 标准化票据存续期间，发生存托机构变更或解任、存托协议变更、基础资产逾期追索、诉讼等事件以及存托协议中约定的应由标准化票据持有人大会作出决议的其他情形时，应通过召开标准化票据持有人大会审议决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标准化票据持有人大会由存托机构召集，存托机构不召集的，持有人可按照存托协议的约定自行召集。</w:t>
      </w:r>
    </w:p>
    <w:p>
      <w:pPr>
        <w:spacing w:after="156" w:afterLines="50" w:line="360" w:lineRule="auto"/>
        <w:ind w:firstLine="482" w:firstLineChars="200"/>
        <w:outlineLvl w:val="0"/>
        <w:rPr>
          <w:rFonts w:cs="宋体" w:asciiTheme="majorEastAsia" w:hAnsiTheme="majorEastAsia" w:eastAsiaTheme="majorEastAsia"/>
          <w:b/>
          <w:bCs/>
        </w:rPr>
      </w:pPr>
      <w:bookmarkStart w:id="136" w:name="_Toc26765"/>
      <w:r>
        <w:rPr>
          <w:rFonts w:hint="eastAsia" w:cs="宋体" w:asciiTheme="majorEastAsia" w:hAnsiTheme="majorEastAsia" w:eastAsiaTheme="majorEastAsia"/>
          <w:b/>
          <w:bCs/>
        </w:rPr>
        <w:t>第七章监督管理</w:t>
      </w:r>
      <w:bookmarkEnd w:id="13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 标准化票据的利率、价格等以市场化方式确定，任何机构不得以欺诈、操纵市场等行为获取不正当利益。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 标准化票据存托、经纪、承销、信用评级等专业机构及人员应勤勉尽责，严格遵守执业规范和职业道德，按规定和约定履行义务。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专业机构及人员出具的文件含有虚假记载、误导性陈述和重大遗漏的，应按职责范围承担相应的法律责任。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 票据市场基础设施、标准化票据登记托管机构等标准化票据相关基础设施，应根据自身职责依照本办法及中国人民银行有关规定，建立相应内部控制和风险管理制度，制定基础资产托管及信息披露等规则，组织市场机构起草标准化票据存托协议标准文本，报中国人民银行备案后施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 存托机构应于标准化票据创设结束之日起5个工作日内向中国人民银行报告创设情况。标准化票据相关基础设施应每月向中国人民银行报告标准化票据的基础资产管理、创设、登记托管、交易、结算等情况。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 中国人民银行依法对标准化票据相关基础设施、存托机构、票据经纪机构、承销机构等进行监督管理。对违反本办法规定的机构和人员，中国人民银行依照《中华人民共和国中国人民银行法》第四十六条的规定进行处罚。</w:t>
      </w:r>
    </w:p>
    <w:p>
      <w:pPr>
        <w:spacing w:after="156" w:afterLines="50" w:line="360" w:lineRule="auto"/>
        <w:ind w:firstLine="482" w:firstLineChars="200"/>
        <w:outlineLvl w:val="0"/>
        <w:rPr>
          <w:rFonts w:cs="宋体" w:asciiTheme="majorEastAsia" w:hAnsiTheme="majorEastAsia" w:eastAsiaTheme="majorEastAsia"/>
          <w:b/>
          <w:bCs/>
        </w:rPr>
      </w:pPr>
      <w:bookmarkStart w:id="137" w:name="_Toc3296"/>
      <w:r>
        <w:rPr>
          <w:rFonts w:hint="eastAsia" w:cs="宋体" w:asciiTheme="majorEastAsia" w:hAnsiTheme="majorEastAsia" w:eastAsiaTheme="majorEastAsia"/>
          <w:b/>
          <w:bCs/>
        </w:rPr>
        <w:t>第八章附则</w:t>
      </w:r>
      <w:bookmarkEnd w:id="13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第三十条 本办法由中国人民银行负责解释。</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第三十一条 本办法自2020年7月28日起施行。</w:t>
      </w:r>
    </w:p>
    <w:p>
      <w:pPr>
        <w:pStyle w:val="2"/>
        <w:numPr>
          <w:ilvl w:val="0"/>
          <w:numId w:val="0"/>
        </w:numPr>
        <w:ind w:left="922" w:leftChars="0" w:hanging="440" w:firstLineChars="0"/>
      </w:pPr>
      <w:bookmarkStart w:id="138" w:name="_Toc15477"/>
      <w:r>
        <w:rPr>
          <w:rFonts w:cs="宋体" w:asciiTheme="majorEastAsia" w:hAnsiTheme="majorEastAsia" w:eastAsiaTheme="majorEastAsia"/>
          <w:b/>
          <w:bCs/>
          <w:sz w:val="24"/>
          <w:szCs w:val="24"/>
          <w:lang w:val="en-US" w:eastAsia="zh-CN" w:bidi="ar-SA"/>
        </w:rPr>
        <w:t>21.</w:t>
      </w:r>
      <w:r>
        <w:rPr>
          <w:rFonts w:hint="eastAsia"/>
        </w:rPr>
        <w:t>《动产和权利担保统一登记办法》</w:t>
      </w:r>
      <w:bookmarkEnd w:id="138"/>
      <w:r>
        <w:rPr>
          <w:rFonts w:hint="eastAsia"/>
        </w:rPr>
        <w:tab/>
      </w:r>
    </w:p>
    <w:p>
      <w:pPr>
        <w:spacing w:after="156" w:afterLines="50" w:line="360" w:lineRule="auto"/>
        <w:ind w:firstLine="480" w:firstLineChars="200"/>
        <w:outlineLvl w:val="0"/>
        <w:rPr>
          <w:rFonts w:cs="宋体" w:asciiTheme="majorEastAsia" w:hAnsiTheme="majorEastAsia" w:eastAsiaTheme="majorEastAsia"/>
        </w:rPr>
      </w:pPr>
      <w:bookmarkStart w:id="139" w:name="_Toc25530"/>
      <w:r>
        <w:rPr>
          <w:rFonts w:hint="eastAsia" w:cs="宋体" w:asciiTheme="majorEastAsia" w:hAnsiTheme="majorEastAsia" w:eastAsiaTheme="majorEastAsia"/>
        </w:rPr>
        <w:t>发文机构：中国人民银行</w:t>
      </w:r>
      <w:r>
        <w:rPr>
          <w:rFonts w:hint="eastAsia" w:cs="宋体" w:asciiTheme="majorEastAsia" w:hAnsiTheme="majorEastAsia" w:eastAsiaTheme="majorEastAsia"/>
        </w:rPr>
        <w:tab/>
      </w:r>
      <w:r>
        <w:rPr>
          <w:rFonts w:hint="eastAsia" w:cs="宋体" w:asciiTheme="majorEastAsia" w:hAnsiTheme="majorEastAsia" w:eastAsiaTheme="majorEastAsia"/>
        </w:rPr>
        <w:t>文号：中国人民银行令[2021]第7号</w:t>
      </w:r>
      <w:bookmarkEnd w:id="139"/>
    </w:p>
    <w:p>
      <w:pPr>
        <w:spacing w:after="156" w:afterLines="50" w:line="360" w:lineRule="auto"/>
        <w:ind w:firstLine="482" w:firstLineChars="200"/>
        <w:outlineLvl w:val="0"/>
        <w:rPr>
          <w:rFonts w:cs="宋体" w:asciiTheme="majorEastAsia" w:hAnsiTheme="majorEastAsia" w:eastAsiaTheme="majorEastAsia"/>
          <w:b/>
          <w:bCs/>
        </w:rPr>
      </w:pPr>
      <w:bookmarkStart w:id="140" w:name="_Toc26834"/>
      <w:r>
        <w:rPr>
          <w:rFonts w:hint="eastAsia" w:cs="宋体" w:asciiTheme="majorEastAsia" w:hAnsiTheme="majorEastAsia" w:eastAsiaTheme="majorEastAsia"/>
          <w:b/>
          <w:bCs/>
        </w:rPr>
        <w:t>第一章总则</w:t>
      </w:r>
      <w:bookmarkEnd w:id="14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规范动产和权利担保统一登记，保护担保当事人和利害关系人的合法权益，根据《中华人民共和国民法典》《优化营商环境条例》《国务院关于实施动产和权利担保统一登记的决定》（国发〔2020〕18号）等相关法律法规规定，制定本办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纳入动产和权利担保统一登记范围的担保类型包括：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（一）生产设备、原材料、半成品、产品抵押；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（二）应收账款质押；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（三）存款单、仓单、提单质押；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（四）融资租赁；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（五）保理；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（六）所有权保留；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（七）其他可以登记的动产和权利担保，但机动车抵押、船舶抵押、航空器抵押、债券质押、基金份额质押、股权质押、知识产权中的财产权质押除外。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本办法所称应收账款是指应收账款债权人因提供一定的货物、服务或设施而获得的要求应收账款债务人付款的权利以及依法享有的其他付款请求权，包括现有的以及将有的金钱债权，但不包括因票据或其他有价证券而产生的付款请求权，以及法律、行政法规禁止转让的付款请求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本办法所称的应收账款包括下列权利：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（一）销售、出租产生的债权，包括销售货物，供应水、电、气、暖，知识产权的许可使用，出租动产或不动产等；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（二）提供医疗、教育、旅游等服务或劳务产生的债权；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（三）能源、交通运输、水利、环境保护、市政工程等基础设施和公用事业项目收益权；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（四）提供贷款或其他信用活动产生的债权；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（五）其他以合同为基础的具有金钱给付内容的债权。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中国人民银行征信中心（以下简称征信中心）是动产和权利担保的登记机构，具体承担服务性登记工作，不开展事前审批性登记，不对登记内容进行实质审查。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征信中心建立基于互联网的动产融资统一登记公示系统（以下简称统一登记系统）为社会公众提供动产和权利担保登记和查询服务。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中国人民银行对征信中心登记和查询服务有关活动进行督促指导。</w:t>
      </w:r>
    </w:p>
    <w:p>
      <w:pPr>
        <w:spacing w:after="156" w:afterLines="50" w:line="360" w:lineRule="auto"/>
        <w:ind w:firstLine="482" w:firstLineChars="200"/>
        <w:outlineLvl w:val="0"/>
        <w:rPr>
          <w:rFonts w:cs="宋体" w:asciiTheme="majorEastAsia" w:hAnsiTheme="majorEastAsia" w:eastAsiaTheme="majorEastAsia"/>
          <w:b/>
          <w:bCs/>
        </w:rPr>
      </w:pPr>
      <w:bookmarkStart w:id="141" w:name="_Toc20993"/>
      <w:r>
        <w:rPr>
          <w:rFonts w:hint="eastAsia" w:cs="宋体" w:asciiTheme="majorEastAsia" w:hAnsiTheme="majorEastAsia" w:eastAsiaTheme="majorEastAsia"/>
          <w:b/>
          <w:bCs/>
        </w:rPr>
        <w:t>第二章登记与查询</w:t>
      </w:r>
      <w:bookmarkEnd w:id="141"/>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纳入统一登记范围的动产和权利担保登记通过统一登记系统办理。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担保权人办理登记。担保权人办理登记前，应当与担保人就登记内容达成一致。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担保权人也可以委托他人办理登记。委托他人办理登记的，适用本办法关于担保权人办理登记的规定。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担保权人办理登记时，应当注册为统一登记系统的用户。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登记内容包括担保权人和担保人的基本信息、担保财产的描述、登记期限。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担保权人或担保人为法人、非法人组织的，应当填写法人、非法人组织的法定注册名称、住所、法定代表人或负责人姓名，金融机构编码、统一社会信用代码、全球法人识别编码等机构代码或编码以及其他相关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担保权人或担保人为自然人的，应当填写有效身份证件号码、有效身份证件载明的地址等信息。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担保权人可以与担保人约定将主债权金额、担保范围、禁止或限制转让的担保财产等项目作为登记内容。对担保财产进行概括性描述的，应当能够合理识别担保财产。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最高额担保应登记最高债权额。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担保权人应当将填写完毕的登记内容提交统一登记系统。统一登记系统记录提交时间并分配登记编号，生成初始登记证明和修改码提供给担保权人。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担保权人应当根据主债权履行期限合理确定登记期限。登记期限最短1个月，最长不超过30年。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在登记期限届满前，担保权人可以申请展期。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担保权人可以多次展期，每次展期期限最短1个月，最长不超过30年。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登记内容存在遗漏、错误等情形或登记内容发生变化的，担保权人应当办理变更登记。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担保权人在原登记中增加新的担保财产的，新增加的部分视为新的登记。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担保权人办理登记时所填写的担保人法定注册名称或有效身份证件号码变更的，担保权人应当自变更之日起4个月内办理变更登记。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担保权人办理展期、变更登记的，应当与担保人就展期、变更事项达成一致。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有下列情形之一的，担保权人应当自该情形发生之日起10个工作日内办理注销登记：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（一）主债权消灭；</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（二）担保权利实现；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（三）担保权人放弃登记载明的担保财产之上的全部担保权；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（四）其他导致所登记权利消灭的情形。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担保权人迟延办理注销登记，给他人造成损害的，应当承担相应的法律责任。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担保权人凭修改码办理展期、变更登记、注销登记。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担保人或其他利害关系人认为登记内容错误的，可以要求担保权人办理变更登记或注销登记。担保权人不同意变更或注销的，担保人或其他利害关系人可以办理异议登记。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办理异议登记的担保人或其他利害关系人可以自行注销异议登记。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担保人或其他利害关系人应当自异议登记办理完毕之日起7日内通知担保权人。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担保人或其他利害关系人自异议登记之日起30日内，未就争议起诉或提请仲裁并在统一登记系统提交案件受理通知的，征信中心撤销异议登记。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应担保人或其他利害关系人、担保权人的申请，征信中心根据对担保人或其他利害关系人、担保权人生效的人民法院判决、裁定或仲裁机构裁决等法律文书撤销相关登记。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担保权人办理变更登记和注销登记、担保人或其他利害关系人办理异议登记后，统一登记系统记录登记时间、分配登记编号，并生成变更登记、注销登记或异议登记证明。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 担保权人开展动产和权利担保融资业务时，应当严格审核确认担保财产的真实性，并在统一登记系统中查询担保财产的权利负担状况。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 担保权人、担保人和其他利害关系人应当按照统一登记系统提示项目如实登记，并对登记内容的真实性、完整性和合法性负责。因担保权人或担保人名称填写错误，担保财产描述不能够合理识别担保财产等情形导致不能正确公示担保权利的，其法律后果由当事人自行承担。办理登记时，存在提供虚假材料等行为给他人造成损害的，应当承担相应的法律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 任何法人、非法人组织和自然人均可以在注册为统一登记系统的用户后，查询动产和权利担保登记信息。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 担保人为法人、非法人组织的，查询人以担保人的法定注册名称进行查询。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担保人为自然人的，查询人以担保人的身份证件号码进行查询。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 征信中心根据查询人的申请，提供查询证明。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 担保权人、担保人或其他利害关系人、查询人可以通过证明编号在统一登记系统对登记证明和查询证明进行验证。</w:t>
      </w:r>
    </w:p>
    <w:p>
      <w:pPr>
        <w:spacing w:after="156" w:afterLines="50" w:line="360" w:lineRule="auto"/>
        <w:ind w:firstLine="482" w:firstLineChars="200"/>
        <w:outlineLvl w:val="0"/>
        <w:rPr>
          <w:rFonts w:cs="宋体" w:asciiTheme="majorEastAsia" w:hAnsiTheme="majorEastAsia" w:eastAsiaTheme="majorEastAsia"/>
          <w:b/>
          <w:bCs/>
        </w:rPr>
      </w:pPr>
      <w:bookmarkStart w:id="142" w:name="_Toc12671"/>
      <w:r>
        <w:rPr>
          <w:rFonts w:hint="eastAsia" w:cs="宋体" w:asciiTheme="majorEastAsia" w:hAnsiTheme="majorEastAsia" w:eastAsiaTheme="majorEastAsia"/>
          <w:b/>
          <w:bCs/>
        </w:rPr>
        <w:t>第三章征信中心的职责</w:t>
      </w:r>
      <w:bookmarkEnd w:id="14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 征信中心应当建立登记信息内部控制制度，采取技术措施和其他必要措施，做好统一登记系统建设和维护工作，保障系统安全、稳定运行，建立高效运转的服务体系，不断提高服务效率和质量，防止登记信息泄露、丢失，保护当事人合法权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第三十条 征信中心应当制定登记操作规则和内部管理制度，并报中国人民银行备案。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第三十一条 登记注销、登记期限届满或登记撤销后，征信中心应当对登记记录进行电子化离线保存，保存期限为15年。</w:t>
      </w:r>
    </w:p>
    <w:p>
      <w:pPr>
        <w:spacing w:after="156" w:afterLines="50" w:line="360" w:lineRule="auto"/>
        <w:ind w:firstLine="482" w:firstLineChars="200"/>
        <w:outlineLvl w:val="0"/>
        <w:rPr>
          <w:rFonts w:cs="宋体" w:asciiTheme="majorEastAsia" w:hAnsiTheme="majorEastAsia" w:eastAsiaTheme="majorEastAsia"/>
          <w:b/>
          <w:bCs/>
        </w:rPr>
      </w:pPr>
      <w:bookmarkStart w:id="143" w:name="_Toc29839"/>
      <w:r>
        <w:rPr>
          <w:rFonts w:hint="eastAsia" w:cs="宋体" w:asciiTheme="majorEastAsia" w:hAnsiTheme="majorEastAsia" w:eastAsiaTheme="majorEastAsia"/>
          <w:b/>
          <w:bCs/>
        </w:rPr>
        <w:t>第四章附则</w:t>
      </w:r>
      <w:bookmarkEnd w:id="14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第三十二条 征信中心按照国务院价格主管部门批准的收费标准收取登记服务费用。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第三十三条 本办法由中国人民银行负责解释。</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第三十四条 本办法自2022年2月1日起施行。《应收账款质押登记办法》（中国人民银行令〔2019〕第4号发布）同时废止。</w:t>
      </w:r>
    </w:p>
    <w:p>
      <w:pPr>
        <w:pStyle w:val="2"/>
        <w:numPr>
          <w:ilvl w:val="0"/>
          <w:numId w:val="0"/>
        </w:numPr>
        <w:ind w:left="922" w:leftChars="0" w:hanging="440" w:firstLineChars="0"/>
      </w:pPr>
      <w:bookmarkStart w:id="144" w:name="_Toc11957"/>
      <w:r>
        <w:rPr>
          <w:rFonts w:cs="宋体" w:asciiTheme="majorEastAsia" w:hAnsiTheme="majorEastAsia" w:eastAsiaTheme="majorEastAsia"/>
          <w:b/>
          <w:bCs/>
          <w:sz w:val="24"/>
          <w:szCs w:val="24"/>
          <w:lang w:val="en-US" w:eastAsia="zh-CN" w:bidi="ar-SA"/>
        </w:rPr>
        <w:t>22.</w:t>
      </w:r>
      <w:r>
        <w:rPr>
          <w:rFonts w:hint="eastAsia"/>
        </w:rPr>
        <w:t>《商业汇票承兑、贴现与再贴现管理办法》</w:t>
      </w:r>
      <w:bookmarkEnd w:id="144"/>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发文机构：中国银行保险监督管理委员会（已撤销）、中国人民银行</w:t>
      </w:r>
      <w:r>
        <w:rPr>
          <w:rFonts w:hint="eastAsia" w:cs="宋体" w:asciiTheme="majorEastAsia" w:hAnsiTheme="majorEastAsia" w:eastAsiaTheme="majorEastAsia"/>
        </w:rPr>
        <w:tab/>
      </w:r>
    </w:p>
    <w:p>
      <w:pPr>
        <w:spacing w:after="156" w:afterLines="50" w:line="360" w:lineRule="auto"/>
        <w:ind w:firstLine="480" w:firstLineChars="200"/>
        <w:outlineLvl w:val="0"/>
        <w:rPr>
          <w:rFonts w:cs="宋体" w:asciiTheme="majorEastAsia" w:hAnsiTheme="majorEastAsia" w:eastAsiaTheme="majorEastAsia"/>
        </w:rPr>
      </w:pPr>
      <w:bookmarkStart w:id="145" w:name="_Toc15989"/>
      <w:r>
        <w:rPr>
          <w:rFonts w:hint="eastAsia" w:cs="宋体" w:asciiTheme="majorEastAsia" w:hAnsiTheme="majorEastAsia" w:eastAsiaTheme="majorEastAsia"/>
        </w:rPr>
        <w:t>文号：中国人民银行、中国银行保险监督管理委员会令〔2022〕第4号</w:t>
      </w:r>
      <w:bookmarkEnd w:id="145"/>
    </w:p>
    <w:p>
      <w:pPr>
        <w:spacing w:after="156" w:afterLines="50" w:line="360" w:lineRule="auto"/>
        <w:ind w:firstLine="482" w:firstLineChars="200"/>
        <w:outlineLvl w:val="0"/>
        <w:rPr>
          <w:rFonts w:cs="宋体" w:asciiTheme="majorEastAsia" w:hAnsiTheme="majorEastAsia" w:eastAsiaTheme="majorEastAsia"/>
          <w:b/>
          <w:bCs/>
        </w:rPr>
      </w:pPr>
      <w:bookmarkStart w:id="146" w:name="_Toc15372"/>
      <w:r>
        <w:rPr>
          <w:rFonts w:hint="eastAsia" w:cs="宋体" w:asciiTheme="majorEastAsia" w:hAnsiTheme="majorEastAsia" w:eastAsiaTheme="majorEastAsia"/>
          <w:b/>
          <w:bCs/>
        </w:rPr>
        <w:t>第一章总则</w:t>
      </w:r>
      <w:bookmarkEnd w:id="14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了规范商业汇票承兑、贴现与再贴现业务，根据《中华人民共和国票据法》《中华人民共和国中国人民银行法》《中华人民共和国银行业监督管理法》《中华人民共和国商业银行法》等有关法律法规，制定本办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本办法所称商业汇票是出票人签发的，委托付款人在见票时或者在指定日期无条件支付确定的金额给收款人或者持票人的票据，包括但不限于纸质或电子形式的银行承兑汇票、财务公司承兑汇票、商业承兑汇票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电子商业汇票的出票、承兑、贴现、贴现前的背书、质押、保证、提示付款和追索等业务，应当通过人民银行认可的票据市场基础设施办理。供应链票据属于电子商业汇票。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本办法所称承兑是指付款人承诺在商业汇票到期日无条件支付汇票金额的票据行为。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本办法所称贴现是指持票人在商业汇票到期日前，贴付一定利息将票据转让至具有贷款业务资质机构的行为。持票人持有的票据应为依法合规取得，具有真实交易关系和债权债务关系，因税收、继承、赠与依法无偿取得票据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本办法所称再贴现是指人民银行对金融机构持有的已贴现未到期商业汇票予以贴现的行为，是中央银行的一种货币政策工具。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商业汇票的承兑、贴现和再贴现，应当遵循依法合规、公平自愿、诚信自律、风险自担的原则。</w:t>
      </w:r>
    </w:p>
    <w:p>
      <w:pPr>
        <w:spacing w:after="156" w:afterLines="50" w:line="360" w:lineRule="auto"/>
        <w:ind w:firstLine="482" w:firstLineChars="200"/>
        <w:outlineLvl w:val="0"/>
        <w:rPr>
          <w:rFonts w:cs="宋体" w:asciiTheme="majorEastAsia" w:hAnsiTheme="majorEastAsia" w:eastAsiaTheme="majorEastAsia"/>
          <w:b/>
          <w:bCs/>
        </w:rPr>
      </w:pPr>
      <w:bookmarkStart w:id="147" w:name="_Toc18036"/>
      <w:r>
        <w:rPr>
          <w:rFonts w:hint="eastAsia" w:cs="宋体" w:asciiTheme="majorEastAsia" w:hAnsiTheme="majorEastAsia" w:eastAsiaTheme="majorEastAsia"/>
          <w:b/>
          <w:bCs/>
        </w:rPr>
        <w:t>第二章承兑</w:t>
      </w:r>
      <w:bookmarkEnd w:id="14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银行承兑汇票是指银行和农村信用合作社承兑的商业汇票。银行主要包括政策性开发性银行、商业银行和农村合作银行。银行承兑汇票承兑人应在中华人民共和国境内依法设立，具有银保监会或其派出机构颁发的金融许可证，且业务范围包含票据承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财务公司承兑汇票是指企业集团财务公司承兑的商业汇票。财务公司承兑汇票承兑人应在中华人民共和国境内依法设立，具有银保监会或其派出机构颁发的金融许可证，且业务范围包含票据承兑。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商业承兑汇票是由银行、农村信用合作社、财务公司以外的法人或非法人组织承兑的商业汇票。商业承兑汇票承兑人应为在中华人民共和国境内依法设立的法人及其分支机构和非法人组织。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银行、农村信用合作社、财务公司承兑人开展承兑业务时，应当严格审查出票人的真实交易关系和债权债务关系以及承兑风险，出票人应当具有良好资信。承兑的金额应当与真实交易关系和债权债务关系、承兑申请人的偿付能力相匹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银行、农村信用合作社、财务公司承兑的担保品应当严格管理。担保品为保证金的，保证金账户应当独立设置，不得挪用或随意提前支取保证金。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银行、农村信用合作社、财务公司承兑业务应当纳入存款类金融机构统一授信管理和风险管理框架。</w:t>
      </w:r>
    </w:p>
    <w:p>
      <w:pPr>
        <w:spacing w:after="156" w:afterLines="50" w:line="360" w:lineRule="auto"/>
        <w:ind w:firstLine="482" w:firstLineChars="200"/>
        <w:outlineLvl w:val="0"/>
        <w:rPr>
          <w:rFonts w:cs="宋体" w:asciiTheme="majorEastAsia" w:hAnsiTheme="majorEastAsia" w:eastAsiaTheme="majorEastAsia"/>
          <w:b/>
          <w:bCs/>
        </w:rPr>
      </w:pPr>
      <w:bookmarkStart w:id="148" w:name="_Toc16551"/>
      <w:r>
        <w:rPr>
          <w:rFonts w:hint="eastAsia" w:cs="宋体" w:asciiTheme="majorEastAsia" w:hAnsiTheme="majorEastAsia" w:eastAsiaTheme="majorEastAsia"/>
          <w:b/>
          <w:bCs/>
        </w:rPr>
        <w:t>第三章贴现和再贴现</w:t>
      </w:r>
      <w:bookmarkEnd w:id="148"/>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商业汇票的贴现人应为在中华人民共和国境内依法设立的、具有贷款业务资质的法人及其分支机构。申请贴现的商业汇票持票人应为自然人、在中华人民共和国境内依法设立的法人及其分支机构和非法人组织。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申请贴现的持票人取得贴现票据应依法合规，与出票人或前手之间具有真实交易关系和债权债务关系，因税收、继承、赠与依法无偿取得票据的除外。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持票人申请贴现，须提交贴现申请、持票人背书的未到期商业汇票以及能够反映真实交易关系和债权债务关系的材料。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持票人可以通过票据经纪机构进行票据贴现询价和成交，贴现撮合交易应当通过人民银行认可的票据市场基础设施开展。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票据经纪机构应为市场信誉良好、票据业务活跃的金融机构。票据经纪机构应当具有独立的票据经纪部门和完善的内控管理机制，具有专门的经纪渠道，票据经纪业务与自营业务严格隔离。票据经纪机构应当具有专业的从业人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转贴现业务按照人民银行和银保监会票据交易有关规定执行。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办理商业汇票贴现业务的金融机构，可以申请办理再贴现业务。再贴现业务办理的条件、利率、期限和方式，按照人民银行有关规定执行。</w:t>
      </w:r>
    </w:p>
    <w:p>
      <w:pPr>
        <w:spacing w:after="156" w:afterLines="50" w:line="360" w:lineRule="auto"/>
        <w:ind w:firstLine="482" w:firstLineChars="200"/>
        <w:outlineLvl w:val="0"/>
        <w:rPr>
          <w:rFonts w:cs="宋体" w:asciiTheme="majorEastAsia" w:hAnsiTheme="majorEastAsia" w:eastAsiaTheme="majorEastAsia"/>
          <w:b/>
          <w:bCs/>
        </w:rPr>
      </w:pPr>
      <w:bookmarkStart w:id="149" w:name="_Toc23803"/>
      <w:r>
        <w:rPr>
          <w:rFonts w:hint="eastAsia" w:cs="宋体" w:asciiTheme="majorEastAsia" w:hAnsiTheme="majorEastAsia" w:eastAsiaTheme="majorEastAsia"/>
          <w:b/>
          <w:bCs/>
        </w:rPr>
        <w:t>第四章风险控制</w:t>
      </w:r>
      <w:bookmarkEnd w:id="149"/>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金融机构应当具备健全的票据业务管理制度和内部控制制度，审慎开展商业汇票承兑和贴现业务，采取有效措施防范市场风险、信用风险和操作风险。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商业汇票的承兑人和贴现人应当具备良好的经营和财务状况，最近二年不得发生票据持续逾期或者未按规定披露信息的行为。商业汇票承兑人对承兑的票据应当具备到期付款的能力。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 财务公司承兑人所属的集团法人应当具备良好的经营和财务状况，最近二年不得发生票据持续逾期或者未按规定披露信息的行为，最近二年不得发生重大违法行为，以及其他严重损害市场主体合法权益或社会公共利益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 银行承兑汇票和财务公司承兑汇票的最高承兑余额不得超过该承兑人总资产的15%。银行承兑汇票和财务公司承兑汇票保证金余额不得超过该承兑人吸收存款规模的10%。人民银行和银保监会可以根据金融机构内控情况设置承兑余额与贷款余额比例上限等其他监管指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 商业汇票的付款期限应当与真实交易的履行期限相匹配，自出票日起至到期日止，最长不得超过6个月。</w:t>
      </w:r>
    </w:p>
    <w:p>
      <w:pPr>
        <w:spacing w:after="156" w:afterLines="50" w:line="360" w:lineRule="auto"/>
        <w:ind w:firstLine="482" w:firstLineChars="200"/>
        <w:outlineLvl w:val="0"/>
        <w:rPr>
          <w:rFonts w:cs="宋体" w:asciiTheme="majorEastAsia" w:hAnsiTheme="majorEastAsia" w:eastAsiaTheme="majorEastAsia"/>
          <w:b/>
          <w:bCs/>
        </w:rPr>
      </w:pPr>
      <w:bookmarkStart w:id="150" w:name="_Toc8620"/>
      <w:r>
        <w:rPr>
          <w:rFonts w:hint="eastAsia" w:cs="宋体" w:asciiTheme="majorEastAsia" w:hAnsiTheme="majorEastAsia" w:eastAsiaTheme="majorEastAsia"/>
          <w:b/>
          <w:bCs/>
        </w:rPr>
        <w:t>第五章信息披露</w:t>
      </w:r>
      <w:bookmarkEnd w:id="15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 商业汇票信息披露按照人民银行有关规定执行，应当遵循及时、真实、准确、完整的原则。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 商业承兑汇票承兑人和财务公司承兑汇票承兑人应当按照人民银行规定披露票据主要要素及信用信息。银行承兑汇票承兑人应当披露承兑人信用信息。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 贴现人办理商业汇票贴现的，应当按照人民银行规定核对票据披露信息，信息不存在或者记载事项与披露信息不一致的，不得为持票人办理贴现。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 商业汇票背书转让时，被背书人可以按照人民银行规定核对票据信息，信息不存在或者记载事项与披露信息不一致的，可以采取有效措施识别票据信息真伪及信用风险，加强风险防范。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第三十条 商业汇票承兑人为非上市公司、在债券市场无信用评级的，鼓励商业汇票流通前由信用评级机构对承兑人进行主体信用评级，并按照人民银行有关规定披露相关信息。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第三十一条 票据市场基础设施按人民银行有关要求对承兑人信息披露情况进行监测，承兑人存在票据持续逾期或披露信息存在虚假、遗漏、延迟的，票据市场基础设施应根据业务规则采取相应处置措施，并向人民银行报告。</w:t>
      </w:r>
    </w:p>
    <w:p>
      <w:pPr>
        <w:spacing w:after="156" w:afterLines="50" w:line="360" w:lineRule="auto"/>
        <w:ind w:firstLine="482" w:firstLineChars="200"/>
        <w:outlineLvl w:val="0"/>
        <w:rPr>
          <w:rFonts w:cs="宋体" w:asciiTheme="majorEastAsia" w:hAnsiTheme="majorEastAsia" w:eastAsiaTheme="majorEastAsia"/>
          <w:b/>
          <w:bCs/>
        </w:rPr>
      </w:pPr>
      <w:bookmarkStart w:id="151" w:name="_Toc5955"/>
      <w:r>
        <w:rPr>
          <w:rFonts w:hint="eastAsia" w:cs="宋体" w:asciiTheme="majorEastAsia" w:hAnsiTheme="majorEastAsia" w:eastAsiaTheme="majorEastAsia"/>
          <w:b/>
          <w:bCs/>
        </w:rPr>
        <w:t>第六章监督管理</w:t>
      </w:r>
      <w:bookmarkEnd w:id="151"/>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第三十二条 人民银行依法监测商业汇票承兑和贴现的运行情况，依法对票据市场进行管理。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第三十三条 人民银行、银保监会按照法定职责对商业汇票的承兑、贴现、风险控制和信息披露进行监督管理。人民银行对再贴现进行监督管理。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第三十四条 票据市场基础设施和办理商业汇票承兑、贴现、再贴现业务的主体，应当按规定和监管需要向人民银行和银保监会报送有关业务数据。</w:t>
      </w:r>
    </w:p>
    <w:p>
      <w:pPr>
        <w:spacing w:after="156" w:afterLines="50" w:line="360" w:lineRule="auto"/>
        <w:ind w:firstLine="482" w:firstLineChars="200"/>
        <w:outlineLvl w:val="0"/>
        <w:rPr>
          <w:rFonts w:cs="宋体" w:asciiTheme="majorEastAsia" w:hAnsiTheme="majorEastAsia" w:eastAsiaTheme="majorEastAsia"/>
          <w:b/>
          <w:bCs/>
        </w:rPr>
      </w:pPr>
      <w:bookmarkStart w:id="152" w:name="_Toc31084"/>
      <w:r>
        <w:rPr>
          <w:rFonts w:hint="eastAsia" w:cs="宋体" w:asciiTheme="majorEastAsia" w:hAnsiTheme="majorEastAsia" w:eastAsiaTheme="majorEastAsia"/>
          <w:b/>
          <w:bCs/>
        </w:rPr>
        <w:t>第七章法律责任</w:t>
      </w:r>
      <w:bookmarkEnd w:id="15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第三十五条 银行承兑汇票、财务公司承兑汇票的承兑限额、付款期限超出规定的，由人民银行及其分支机构、银保监会及其派出机构对承兑人进行警告、通报批评，并由银保监会及其派出机构依法处以罚款。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第三十六条 商业汇票承兑人最近二年发生票据持续逾期或者未按规定披露信息的，金融机构不得为其办理票据承兑、贴现、保证、质押等业务。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第三十七条 金融机构为不具有真实交易关系和债权债务关系（因税收、继承、赠与依法无偿取得票据的除外）的出票人、持票人办理商业汇票承兑、贴现的，由银保监会及其派出机构根据不同情形依法采取暂停其票据业务等监管措施或者实施行政处罚；对直接负责的董事、高级管理人员和其他直接责任人员，依法追究相关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第三十八条 商业汇票出票人、持票人通过欺诈手段骗取金融机构承兑、贴现的，依法承担相应责任；涉嫌构成犯罪的，移送司法机关依法追究刑事责任。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第三十九条 未经依法许可或者违反国家金融管理规定，擅自从事票据贴现的，依照有关法律法规进行处置。</w:t>
      </w:r>
    </w:p>
    <w:p>
      <w:pPr>
        <w:spacing w:after="156" w:afterLines="50" w:line="360" w:lineRule="auto"/>
        <w:ind w:firstLine="482" w:firstLineChars="200"/>
        <w:outlineLvl w:val="0"/>
        <w:rPr>
          <w:rFonts w:cs="宋体" w:asciiTheme="majorEastAsia" w:hAnsiTheme="majorEastAsia" w:eastAsiaTheme="majorEastAsia"/>
          <w:b/>
          <w:bCs/>
        </w:rPr>
      </w:pPr>
      <w:bookmarkStart w:id="153" w:name="_Toc8273"/>
      <w:r>
        <w:rPr>
          <w:rFonts w:hint="eastAsia" w:cs="宋体" w:asciiTheme="majorEastAsia" w:hAnsiTheme="majorEastAsia" w:eastAsiaTheme="majorEastAsia"/>
          <w:b/>
          <w:bCs/>
        </w:rPr>
        <w:t>第八章附则</w:t>
      </w:r>
      <w:bookmarkEnd w:id="15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第四十条 本办法由人民银行、银保监会负责解释。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第四十一条 本办法第二十四条规定自2024年1月1日起实施。</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第四十二条 本办法自2023年1月1日起施行。《商业汇票承兑、贴现与再贴现管理暂行办法》（银发〔1997〕216号文印发）、《中国人民银行关于切实加强商业汇票承兑贴现和再贴现业务管理的通知》（银发〔2001〕236号）同时废止。</w:t>
      </w:r>
    </w:p>
    <w:p>
      <w:pPr>
        <w:pStyle w:val="2"/>
        <w:numPr>
          <w:ilvl w:val="0"/>
          <w:numId w:val="0"/>
        </w:numPr>
        <w:ind w:left="922" w:leftChars="0" w:hanging="440" w:firstLineChars="0"/>
      </w:pPr>
      <w:bookmarkStart w:id="154" w:name="_Toc16625"/>
      <w:r>
        <w:rPr>
          <w:rFonts w:cs="宋体" w:asciiTheme="majorEastAsia" w:hAnsiTheme="majorEastAsia" w:eastAsiaTheme="majorEastAsia"/>
          <w:b/>
          <w:bCs/>
          <w:sz w:val="24"/>
          <w:szCs w:val="24"/>
          <w:lang w:val="en-US" w:eastAsia="zh-CN" w:bidi="ar-SA"/>
        </w:rPr>
        <w:t>23.</w:t>
      </w:r>
      <w:r>
        <w:rPr>
          <w:rFonts w:hint="eastAsia"/>
        </w:rPr>
        <w:t>《商业银行实施统一授信制度指引》（试行）</w:t>
      </w:r>
      <w:bookmarkEnd w:id="15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发文机构：中国人民银行</w:t>
      </w:r>
      <w:r>
        <w:rPr>
          <w:rFonts w:hint="eastAsia" w:cs="宋体" w:asciiTheme="majorEastAsia" w:hAnsiTheme="majorEastAsia" w:eastAsiaTheme="majorEastAsia"/>
        </w:rPr>
        <w:tab/>
      </w:r>
      <w:r>
        <w:rPr>
          <w:rFonts w:hint="eastAsia" w:cs="宋体" w:asciiTheme="majorEastAsia" w:hAnsiTheme="majorEastAsia" w:eastAsiaTheme="majorEastAsia"/>
        </w:rPr>
        <w:t>文号：银发[1999]31号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在商业银行推行统一授信制度，在加强对信用风险控制与管理的基础上，进一步改善金融服务，在我国建立审慎高效的现代银行制度，根据《商业银行法》和《商业银行授权、授信管理暂行办法》，特制定本指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统一授信是指商业银行对单一法人客户或地区统一确定最高综合授信额度，并加以集中统一控制的信用风险管理制度。包括贷款、贸易融资（如打包放款、进出口押汇等）、贴现、承兑、信用证、保函、担保等表内外信用发放形式的本外币统一综合授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最高综合授信额度是指商业银行在对单一法人客户的风险和财务状况进行综合评估的基础上，确定的能够和愿意承担的风险总量。银行对该客户提供的各类信用余额之和不得超过该客户的最高综合授信额度。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商业银行实施统一授信制度，要做到四个方面的统一：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（一）授信主体的统一。商业银行应确定一个管理部门或委员会统一审核批准对客户的授信，不能由不同部门分别对同一或不同客户，不同部门分别对同一或不同信贷品种进行授信。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授信形式的统一。商业银行对同一客户不同形式的信用发放都应置于该客户的最高授信限额以内，即要做到表内业务授信与表外业务授信统一，对表内的贷款业务、打包放款、进出口押汇、贴现等业务和表外的信用证、保函、承兑等信用发放业务进行一揽子授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（三）不同币种授信的统一，要做到本外币授信的统一，将对本币业务的授信和外币业务的授信置于同一授信额度之下。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（四）授信对象的统一。商业银行授信的对象是法人，不允许商业银行在一个营业机构或系统内对不具备法人资格的分支公司客户授信。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商业银行对每一个法人客户都应确定一个最高授信额度。商业银行在确定对法人客户的最高授信额度的同时，应根据风险程度获得相应的担保。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对由多个法人组成的集团公司客户、尤其是跨国集团公司客户，商业银行应确定一个对该集团客户的总体最高授信额度，银行全系统对该集团各个法人设定的最高授信额度之和不得超过总体最高授信额度。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商业银行应及时掌握最高授信额度的执行情况，对最高授信额度的执行情况进行集中控制和监测，不允许有擅自超越授信额度办理业务的情况。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商业银行应根据市场和客户经营情况，适时审慎调整最高风险控制限额。但额度一旦确定，在一定时间内，应相对稳定，银行不应随意向上调整额度。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商业银行应设计科学的风险分析评估模型或方法，以确定对某一客户的最高授信限额。风险分析、评估模型应定性与定量标准相结合。定性标准应至少包括以下四方面的内容：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（一）客户的风险状况。包括客户的财务状况、发展前景、信誉状况、授信项目的具体情况、提供的抵押担保情况。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（二）银行的风险状况。包括对银行的授权、目前的资产质量状况、资金来源或资本充足程度、银行当前的财务状况。对银行自身风险状况的分析在银团贷款或大型项目贷款时尤其重要。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（三）外部经济、金融环境。包括客户行业的发展现状和前景、市场所占份额、国家风险等。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（四）自然因素，包括地理位置、交通状况、资源条件等。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商业银行应根据统一授信管理制度的要求设置相应的组织机构和职能部门，有利于科学决策和风险控制。组织机构的设置应体现审贷分离原则，保证授信额度审批部门与执行部门相互独立，形成健全的内部制约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商业银行统一授信审核、批准部门与执行部门要分清责任，协调运作。最高授信额度确定后，各种具体授信形式的发放仍应由信贷管理部门逐笔审批，授信额度执行部门如国际业务部门，主要负责授信形式发放的业务操作和相应的风险防范及处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商业银行应确定统一授信的审批程序，审批程序应规范、透明，包括信息收集、核实，授信审核、审批的全过程。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商业银行应建立有效的信息管理系统，设置专门部门进行管理，保证内部管理信息的充分流动，保证管理层能够随时了解授信额度的执行情况、客户的风险状况，保证统一授信管理的有效性。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商业银行应制定适当的信用授权制度。商业银行确定最高授信限额，应保证在规定的授权范围之内。</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商业银行应建立识别、监测、控制和管理信用风险的系统，以精确地确定授信的最高限额。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商业银行董事会或高级管理层应重视统一授信的管理方式，严格监督客户最高授信额度的制定和执行情况，应对风险的发生负最终责任。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商业银行应围绕统一授信制度，完善业务规章制度建设，制定统一授信管理办法及实施细则，以及相关的业务管理制度和风险管理办法。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商业银行制定的统一授信管理办法和制度应报中国人民银行备案。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商业银行内部应加强对最高授信额度和授权制定和执行情况的监督和检查，对超越授权和授信额度开展业务的行为，应进行严肃处理。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中国人民银行应加强对商业银行统一授信管理方式的监督，重点审查商业银行内部控制机制的建设和执行情况。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对没有实行统一授信管理方式的商业银行，中国人民银行将根据情况采取以下处理措施：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（一）停办部分现有业务；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（二）不予批准新的授信业务；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（三）根据风险状况对资本充足率作相应调整。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本指引由中国人民银行负责解释。</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第二十二条 本指引自发布之日起实施。</w:t>
      </w:r>
      <w:r>
        <w:rPr>
          <w:rFonts w:hint="eastAsia" w:cs="宋体" w:asciiTheme="majorEastAsia" w:hAnsiTheme="majorEastAsia" w:eastAsiaTheme="majorEastAsia"/>
        </w:rPr>
        <w:tab/>
      </w:r>
    </w:p>
    <w:p>
      <w:pPr>
        <w:pStyle w:val="2"/>
        <w:numPr>
          <w:ilvl w:val="0"/>
          <w:numId w:val="0"/>
        </w:numPr>
        <w:ind w:left="922" w:leftChars="0" w:hanging="440" w:firstLineChars="0"/>
      </w:pPr>
      <w:bookmarkStart w:id="155" w:name="_Toc26327"/>
      <w:r>
        <w:rPr>
          <w:rFonts w:cs="宋体" w:asciiTheme="majorEastAsia" w:hAnsiTheme="majorEastAsia" w:eastAsiaTheme="majorEastAsia"/>
          <w:b/>
          <w:bCs/>
          <w:sz w:val="24"/>
          <w:szCs w:val="24"/>
          <w:lang w:val="en-US" w:eastAsia="zh-CN" w:bidi="ar-SA"/>
        </w:rPr>
        <w:t>24.</w:t>
      </w:r>
      <w:r>
        <w:rPr>
          <w:rFonts w:hint="eastAsia"/>
        </w:rPr>
        <w:t>《商业银行授信工作尽职指引》</w:t>
      </w:r>
      <w:bookmarkEnd w:id="155"/>
    </w:p>
    <w:p>
      <w:pPr>
        <w:spacing w:after="156" w:afterLines="50" w:line="360" w:lineRule="auto"/>
        <w:ind w:firstLine="480" w:firstLineChars="200"/>
        <w:outlineLvl w:val="0"/>
        <w:rPr>
          <w:rFonts w:hint="eastAsia" w:cs="宋体" w:asciiTheme="majorEastAsia" w:hAnsiTheme="majorEastAsia" w:eastAsiaTheme="majorEastAsia"/>
          <w:lang w:eastAsia="zh-CN"/>
        </w:rPr>
      </w:pPr>
      <w:bookmarkStart w:id="156" w:name="_Toc18117"/>
      <w:r>
        <w:rPr>
          <w:rFonts w:hint="eastAsia" w:cs="宋体" w:asciiTheme="majorEastAsia" w:hAnsiTheme="majorEastAsia" w:eastAsiaTheme="majorEastAsia"/>
        </w:rPr>
        <w:t>发文机构：中国银行业监督管理委员会（已撤销）</w:t>
      </w:r>
      <w:bookmarkEnd w:id="156"/>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文号：银监发〔2004〕51号</w:t>
      </w:r>
    </w:p>
    <w:p>
      <w:pPr>
        <w:spacing w:after="156" w:afterLines="50" w:line="360" w:lineRule="auto"/>
        <w:ind w:firstLine="482" w:firstLineChars="200"/>
        <w:outlineLvl w:val="0"/>
        <w:rPr>
          <w:rFonts w:cs="宋体" w:asciiTheme="majorEastAsia" w:hAnsiTheme="majorEastAsia" w:eastAsiaTheme="majorEastAsia"/>
          <w:b/>
          <w:bCs/>
        </w:rPr>
      </w:pPr>
      <w:bookmarkStart w:id="157" w:name="_Toc14157"/>
      <w:r>
        <w:rPr>
          <w:rFonts w:hint="eastAsia" w:cs="宋体" w:asciiTheme="majorEastAsia" w:hAnsiTheme="majorEastAsia" w:eastAsiaTheme="majorEastAsia"/>
          <w:b/>
          <w:bCs/>
        </w:rPr>
        <w:t>第一章总则</w:t>
      </w:r>
      <w:bookmarkEnd w:id="15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促进商业银行审慎经营，进一步完善授信工作机制，规范授信管理，明确授信工作尽职要求，依据《中华人民共和国商业银行法》、《中华人民共和国银行业监督管理法》和《贷款通则》等法律法规，制定本指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本指引中的授信指对非自然人客户的表内外授信。表内授信包括贷款、项目融资、贸易融资、贴现、透支、保理、拆借和回购等；表外授信包括贷款承诺、保证、信用证、票据承兑等。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授信按期限分为短期授信和中长期授信。短期授信指一年以内（含一年）的授信，中长期授信指一年以上的授信。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本指引中的授信工作、授信工作人员、授信工作尽职和授信工作尽职调查是指：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（一）授信工作指商业银行从事客户调查、业务受理、分析评价、授信决策与实施、授信后管理与问题授信管理等各项授信业务活动。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（二）授信工作人员指商业银行参与授信工作的相关人员。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（三）授信工作尽职指商业银行授信工作人员按照本指引规定履行了最基本的尽职要求。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（四）授信工作尽职调查指商业银行总行及分支机构授信工作尽职调查人员对授信工作人员的尽职情况进行独立地验证、评价和报告。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授信工作人员对《中华人民共和国商业银行法》规定的关系人申请的客户授信业务，应申请回避。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商业银行应建立严格的授信风险垂直管理体制，对授信进行统一管理。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商业银行应建立完整的授信政策、决策机制、管理信息系统和统一的授信业务操作程序，明确尽职要求，定期或在有关法律法规发生变化时，及时对授信业务规章制度进行评审和修订。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商业银行应创造良好的授信工作环境，采取各种有效方式和途径，使授信工作人员明确授信风险控制要求，熟悉授信工作职责和尽职要求，不断提高授信工作能力，并确保授信工作人员独立履行职责。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商业银行应加强授信文档管理，对借贷双方的权利、义务、约定、各种形式的往来及违约纠正措施记录并存档。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商业银行应建立授信工作尽职问责制，明确规定各个授信部门、岗位的职责，对违法、违规造成的授信风险进行责任认定，并按规定对有关责任人进行处理。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本指引的《附录》列举了有关风险提示，商业银行应结合实际参照制定相应的风险防范工作要求。</w:t>
      </w:r>
    </w:p>
    <w:p>
      <w:pPr>
        <w:spacing w:after="156" w:afterLines="50" w:line="360" w:lineRule="auto"/>
        <w:ind w:firstLine="482" w:firstLineChars="200"/>
        <w:outlineLvl w:val="0"/>
        <w:rPr>
          <w:rFonts w:cs="宋体" w:asciiTheme="majorEastAsia" w:hAnsiTheme="majorEastAsia" w:eastAsiaTheme="majorEastAsia"/>
          <w:b/>
          <w:bCs/>
        </w:rPr>
      </w:pPr>
      <w:bookmarkStart w:id="158" w:name="_Toc25905"/>
      <w:r>
        <w:rPr>
          <w:rFonts w:hint="eastAsia" w:cs="宋体" w:asciiTheme="majorEastAsia" w:hAnsiTheme="majorEastAsia" w:eastAsiaTheme="majorEastAsia"/>
          <w:b/>
          <w:bCs/>
        </w:rPr>
        <w:t>第二章客户调查和业务受理尽职要求</w:t>
      </w:r>
      <w:bookmarkEnd w:id="158"/>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商业银行应根据本行确定的业务发展规划及风险战略，拟定明确的目标客户，包括已建立业务关系的客户和潜在客户。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商业银行确定目标客户时应明确所期望的客户特征，并确定可受理客户的基本要求。商业银行受理的所有客户原则上必须满足或高于这些要求。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商业银行客户调查应根据授信种类搜集客户基本资料，建立客户档案。资料清单提示参见《附录》中的“客户基本资料清单提示”。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商业银行应关注和搜集集团客户及关联客户的有关信息，有效识别授信集中风险及关联客户授信风险。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商业银行应对客户提供的身份证明、授信主体资格、财务状况等资料的合法性、真实性和有效性进行认真核实，并将核实过程和结果以书面形式记载。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商业银行对客户调查和客户资料的验证应以实地调查为主，间接调查为辅。必要时，可通过外部征信机构对客户资料的真实性进行核实。</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商业银行应酌情、主动向政府有关部门及社会中介机构索取相关资料，以验证客户提供材料的真实性，并作备案。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客户资料如有变动，商业银行应要求客户提供书面报告，进一步核实后在档案中重新记载。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对客户资料补充或变更时，授信工作人员之间应主动进行沟通，确保各方均能够及时得到相关信息。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授信业务部门授信工作人员和授信管理部门授信工作人员任何一方需对客户资料进行补充时，须通知另外一方，但原则上须由业务部门授信工作人员办理。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商业银行应了解和掌握客户的经营管理状况，督促客户不断提高经营管理效益，保证授信安全。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当客户发生突发事件时，商业银行应立即派员实地调查，并依法及时做出是否更改原授信资料的意见。必要时，授信管理部门应及时会同授信业务部门派员实地调查。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商业银行应督促授信管理部门与其他商业银行之间就客户调查资料的完整性、真实性建立相互沟通机制。对从其他商业银行获得的授信信息，授信工作人员应注意保密，不得用于不正当业务竞争。</w:t>
      </w:r>
    </w:p>
    <w:p>
      <w:pPr>
        <w:spacing w:after="156" w:afterLines="50" w:line="360" w:lineRule="auto"/>
        <w:ind w:firstLine="482" w:firstLineChars="200"/>
        <w:outlineLvl w:val="0"/>
        <w:rPr>
          <w:rFonts w:cs="宋体" w:asciiTheme="majorEastAsia" w:hAnsiTheme="majorEastAsia" w:eastAsiaTheme="majorEastAsia"/>
          <w:b/>
          <w:bCs/>
        </w:rPr>
      </w:pPr>
      <w:bookmarkStart w:id="159" w:name="_Toc3009"/>
      <w:r>
        <w:rPr>
          <w:rFonts w:hint="eastAsia" w:cs="宋体" w:asciiTheme="majorEastAsia" w:hAnsiTheme="majorEastAsia" w:eastAsiaTheme="majorEastAsia"/>
          <w:b/>
          <w:bCs/>
        </w:rPr>
        <w:t>第三章分析与评价尽职要求</w:t>
      </w:r>
      <w:bookmarkEnd w:id="159"/>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 商业银行应根据不同授信品种的特点，对客户申请的授信业务进行分析评价，重点关注可能影响授信安全的因素，有效识别各类风险。主要授信品种的风险提示参见《附录》中的“主要授信品种风险分析提示”。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 商业银行应认真评估客户的财务报表，对影响客户财务状况的各项因素进行分析评价，预测客户未来的财务和经营情况。必要时应进行利率、汇率等的敏感度分析。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 商业银行应对客户的非财务因素进行分析评价，对客户公司治理、管理层素质、履约记录、生产装备和技术能力、产品和市场、行业特点以及宏观经济环境等方面的风险进行识别，风险提示参见《附录》中的“非财务因素分析风险提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 商业银行应对客户的信用等级进行评定并予以记载。必要时可委托独立的、资质和信誉较高的外部评级机构完成。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 商业银行应根据国家法律、法规、有关方针政策以及本行信贷制度，对授信项目的技术、市场、财务等方面的可行性进行评审，并以书面形式予以记载。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 商业银行应对第二还款来源进行分析评价，确认保证人的保证主体资格和代偿能力，以及抵押、质押的合法性、充分性和可实现性。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 商业银行应根据各环节授信分析评价的结果，形成书面的分析评价报告。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分析评价报告应详细注明客户的经营、管理、财务、行业和环境等状况，内容应真实、简洁、明晰。分析评价报告报出后，不得在原稿上作原则性更改；如需作原则性更改，应另附说明。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第三十条 在客户信用等级和客户评价报告的有效期内，对发生影响客户资信的重大事项，商业银行应重新进行授信分析评价。重大事项包括：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（一）外部政策变动；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（二）客户组织结构、股权或主要领导人发生变动；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（三）客户的担保超过所设定的担保警戒线；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（四）客户财务收支能力发生重大变化；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（五）客户涉及重大诉讼；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（六）客户在其他银行交叉违约的历史记录；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（七）其他。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第三十一条 商业银行对发生变动或信用等级已失效的客户评价报告，应随时进行审查，及时做出相应的评审意见。</w:t>
      </w:r>
    </w:p>
    <w:p>
      <w:pPr>
        <w:spacing w:after="156" w:afterLines="50" w:line="360" w:lineRule="auto"/>
        <w:ind w:firstLine="482" w:firstLineChars="200"/>
        <w:outlineLvl w:val="0"/>
        <w:rPr>
          <w:rFonts w:cs="宋体" w:asciiTheme="majorEastAsia" w:hAnsiTheme="majorEastAsia" w:eastAsiaTheme="majorEastAsia"/>
          <w:b/>
          <w:bCs/>
        </w:rPr>
      </w:pPr>
      <w:bookmarkStart w:id="160" w:name="_Toc15180"/>
      <w:r>
        <w:rPr>
          <w:rFonts w:hint="eastAsia" w:cs="宋体" w:asciiTheme="majorEastAsia" w:hAnsiTheme="majorEastAsia" w:eastAsiaTheme="majorEastAsia"/>
          <w:b/>
          <w:bCs/>
        </w:rPr>
        <w:t>第四章授信决策与实施尽职要求</w:t>
      </w:r>
      <w:bookmarkEnd w:id="16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第三十二条 商业银行授信决策应在书面授权范围内进行，不得超越权限进行授信。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第三十三条 商业银行授信决策应依据规定的程序进行，不得违反程序或减少程序进行授信。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第三十四条 商业银行在授信决策过程中，应严格要求授信工作人员遵循客观、公正的原则，独立发表决策意见，不受任何外部因素的干扰。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第三十五条 商业银行不得对以下用途的业务进行授信：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（一）国家明令禁止的产品或项目；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（二）违反国家有关规定从事股本权益性投资，以授信作为注册资本金、注册验资和增资扩股；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（三）违反国家有关规定从事股票、期货、金融衍生产品等投资；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（四）其他违反国家法律法规和政策的项目。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第三十六条 客户未按国家规定取得以下有效批准文件之一的，或虽然取得，但属于化整为零、越权或变相越权和超授权批准的，商业银行不得提供授信：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（一）项目批准文件；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（二）环保批准文件；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（三）土地批准文件；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（四）其他按国家规定需具备的批准文件。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第三十七条 商业银行授信决策做出后，授信条件发生变更的，商业银行应依有关法律、法规或相应的合同条款重新决策或变更授信。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第三十八条 商业银行实施有条件授信时应遵循“先落实条件，后实施授信”的原则，授信条件未落实或条件发生变更未重新决策的，不得实施授信。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第三十九条 商业银行对拟实施的授信应制作相应的法律文件并审核法律文件的合法合规性，法律文件的主要条款提示参见《附录》中的“格式合同文本主要条款提示”。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第四十条 商业银行授信实施时，应关注借款合同的合法性。被授权签署借款合同的授信工作人员在签字前应对借款合同进行逐项审查，并对客户确切的法律名称、被授权代表客户签名者的授权证明文件、签名者身份以及所签署的授信法律文件合法性等进行确认。</w:t>
      </w:r>
    </w:p>
    <w:p>
      <w:pPr>
        <w:spacing w:after="156" w:afterLines="50" w:line="360" w:lineRule="auto"/>
        <w:ind w:firstLine="482" w:firstLineChars="200"/>
        <w:outlineLvl w:val="0"/>
        <w:rPr>
          <w:rFonts w:cs="宋体" w:asciiTheme="majorEastAsia" w:hAnsiTheme="majorEastAsia" w:eastAsiaTheme="majorEastAsia"/>
          <w:b/>
          <w:bCs/>
        </w:rPr>
      </w:pPr>
      <w:bookmarkStart w:id="161" w:name="_Toc26409"/>
      <w:r>
        <w:rPr>
          <w:rFonts w:hint="eastAsia" w:cs="宋体" w:asciiTheme="majorEastAsia" w:hAnsiTheme="majorEastAsia" w:eastAsiaTheme="majorEastAsia"/>
          <w:b/>
          <w:bCs/>
        </w:rPr>
        <w:t>第五章授信后管理和问题授信处理尽职要求</w:t>
      </w:r>
      <w:bookmarkEnd w:id="161"/>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第四十一条 商业银行授信实施后，应对所有可能影响还款的因素进行持续监测，并形成书面监测报告。重点监测以下内容：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（一）客户是否按约定用途使用授信，是否诚实地全面履行合同；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（二）授信项目是否正常进行；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（三）客户的法律地位是否发生变化；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（四）客户的财务状况是否发生变化；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（五）授信的偿还情况；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（六）抵押品可获得情况和质量、价值等情况。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第四十二条 商业银行应严格按照风险管理的原则，对已实施授信进行准确分类，并建立客户情况变化报告制度。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第四十三条 商业银行应通过非现场和现场检查，及时发现授信主体的潜在风险并发出预警风险提示。风险提示参见《附录》中的“预警信号风险提示”，授信工作人员应及时对授信情况进行分析，发现客户违约时应及时制止并采取补救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第四十四条 商业银行应根据客户偿还能力和现金流量，对客户授信进行调整，包括展期，增加或缩减授信，要求借款人提前还款，并决定是否将该笔授信列入观察名单或划入问题授信。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第四十五条 商业银行对列入观察名单的授信应设立明确的指标，进一步观察判断是否将该笔授信从观察名单中删去或降级；对划入问题授信的，应指定专人管理。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第四十六条 商业银行对问题授信应采取以下措施：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（一）确认实际授信余额；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（二）重新审核所有授信文件，征求法律、审计和问题授信管理等方面专家的意见；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（三）对于没有实施的授信额度，依照约定条件和规定予以终止。依法难以终止或因终止将造成客户经营困难的，应对未实施的授信额度专户管理，未经有权部门批准，不得使用；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（四）书面通知所有可能受到影响的分支机构并要求承诺落实必要的措施；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（五）要求保证人履行保证责任，追加担保或行使担保权；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（六）向所在地司法部门申请冻结问题授信客户的存款账户以减少损失；</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（七）其他必要的处理措施。</w:t>
      </w:r>
    </w:p>
    <w:p>
      <w:pPr>
        <w:spacing w:after="156" w:afterLines="50" w:line="360" w:lineRule="auto"/>
        <w:ind w:firstLine="482" w:firstLineChars="200"/>
        <w:outlineLvl w:val="0"/>
        <w:rPr>
          <w:rFonts w:cs="宋体" w:asciiTheme="majorEastAsia" w:hAnsiTheme="majorEastAsia" w:eastAsiaTheme="majorEastAsia"/>
          <w:b/>
          <w:bCs/>
        </w:rPr>
      </w:pPr>
      <w:bookmarkStart w:id="162" w:name="_Toc1927"/>
      <w:r>
        <w:rPr>
          <w:rFonts w:hint="eastAsia" w:cs="宋体" w:asciiTheme="majorEastAsia" w:hAnsiTheme="majorEastAsia" w:eastAsiaTheme="majorEastAsia"/>
          <w:b/>
          <w:bCs/>
        </w:rPr>
        <w:t>第六章授信工作尽职调查要求</w:t>
      </w:r>
      <w:bookmarkEnd w:id="16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第四十七条 商业银行应设立独立的授信工作尽职调查岗位，明确岗位职责和工作要求。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从事授信尽职调查的人员应具备较完备的授信、法律、财务等知识，接受相关培训，并依诚信和公正原则开展工作。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第四十八条 商业银行应支持授信工作尽职调查人员独立行使尽职调查职能，调查可采取现场或非现场的方式进行。必要时，可聘请外部专家或委托专业机构开展特定的授信尽职调查工作。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第四十九条 商业银行对授信业务流程的各项活动都须进行尽职调查，评价授信工作人员是否勤勉尽责，确定授信工作人员是否免责。被调查人员应积极配合调查人员的工作。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授信工作尽职调查人员应及时报告尽职调查结果。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第五十条 商业银行对授信工作尽职调查人员发现的问题，经过确认的程序，应责成相关授信工作人员及时进行纠正。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第五十一条 商业银行应根据授信工作尽职调查人员的调查结果，对具有以下情节的授信工作人员依法、依规追究责任。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（一）进行虚假记载、误导性陈述或重大疏漏的；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（二）未对客户资料进行认真和全面核实的；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（三）授信决策过程中超越权限、违反程序审批的；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（四）未按照规定时间和程序对授信和担保物进行授信后检查的；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（五）授信客户发生重大变化和突发事件时，未及时实地调查的；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（六）未根据预警信号及时采取必要保全措施的；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（七）故意隐瞒真实情况的；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（八）不配合授信尽职调查人员工作或提供虚假信息的；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（九）其他。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第五十二条 对于严格按照授信业务流程及有关法规，在客户调查和业务受理、授信分析与评价、授信决策与实施、授信后管理和问题授信管理等环节都勤勉尽职地履行职责的授信工作人员，授信一旦出现问题，可视情况免除相关责任。</w:t>
      </w:r>
    </w:p>
    <w:p>
      <w:pPr>
        <w:spacing w:after="156" w:afterLines="50" w:line="360" w:lineRule="auto"/>
        <w:ind w:firstLine="482" w:firstLineChars="200"/>
        <w:outlineLvl w:val="0"/>
        <w:rPr>
          <w:rFonts w:cs="宋体" w:asciiTheme="majorEastAsia" w:hAnsiTheme="majorEastAsia" w:eastAsiaTheme="majorEastAsia"/>
          <w:b/>
          <w:bCs/>
        </w:rPr>
      </w:pPr>
      <w:bookmarkStart w:id="163" w:name="_Toc60"/>
      <w:r>
        <w:rPr>
          <w:rFonts w:hint="eastAsia" w:cs="宋体" w:asciiTheme="majorEastAsia" w:hAnsiTheme="majorEastAsia" w:eastAsiaTheme="majorEastAsia"/>
          <w:b/>
          <w:bCs/>
        </w:rPr>
        <w:t>第七章附则</w:t>
      </w:r>
      <w:bookmarkEnd w:id="16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第五十三条 本指引适用于在中华人民共和国境内依法设立的中资商业银行。其他银行业金融机构可参照执行。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第五十四条 商业银行应根据本指引制定相应的实施细则并报中国银行业监督管理委员会或其派出机构备案。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第五十五条 中国银行业监督管理委员会及其派出机构应依据本指引加强对商业银行授信工作监管。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第五十六条 本指引由中国银行业监督管理委员会负责解释。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第五十七条 本指引自发布之日起施行。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附录：</w:t>
      </w:r>
    </w:p>
    <w:p>
      <w:pPr>
        <w:spacing w:after="156" w:afterLines="50" w:line="360" w:lineRule="auto"/>
        <w:ind w:firstLine="482" w:firstLineChars="200"/>
        <w:rPr>
          <w:rFonts w:cs="宋体" w:asciiTheme="majorEastAsia" w:hAnsiTheme="majorEastAsia" w:eastAsiaTheme="majorEastAsia"/>
          <w:b/>
          <w:bCs/>
        </w:rPr>
      </w:pPr>
      <w:r>
        <w:rPr>
          <w:rFonts w:hint="eastAsia" w:cs="宋体" w:asciiTheme="majorEastAsia" w:hAnsiTheme="majorEastAsia" w:eastAsiaTheme="majorEastAsia"/>
          <w:b/>
          <w:bCs/>
        </w:rPr>
        <w:t>一、主要授信种类的风险提示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（一）票据承兑是否对真实贸易背景进行核实；是否取得或核实税收证明等相关文件；是否严格按要求履行了票据承兑的相关程序。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（二）贴现票据是否符合票据法规定的形式和实质要件；是否对真实贸易背景及相关证明文件进行核实；是否对贴现票据信用状况进行评估；是否对客户有无背书及付款人的承兑予以查实。</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开立信用证是否对信用证受益人与开证申请人之间的贸易关系予以核实；申请人是否按照信用证开立要求填写有关书面材料；受理因申请人开立信用证而产生的汇票时，是否按照票据法和监管部门要求对汇票本身的形式和实质要件进行审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（四）公司贷款是否严格审查客户的资产负债状况，认真独立计算客户的现金流量，并将有关情况存入档案，提示全部问题。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（五）项目融资除评估授信项目建议书、可行性研究报告及未来现金流量预测情况外，是否对质押权、抵押权以及保证或保险等严格调查，防止关联客户无交叉互保。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（六）关联企业授信是否了解统一授信的科学性、合理性和安全性，认真实施统一授信，及时调整额度并紧密跟踪。</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担保授信是否对保证人的偿还能力，违反国家规定担当保证人，抵押物、质押物的权属和价值以及实现抵押权、质押权的可行性进行严格审查；是否就开设担保扣款账户的余额控制及银行授权主动划账办法达成书面协议；是否对抵（质）押权的行使和过户制定可操作的办法。</w:t>
      </w:r>
    </w:p>
    <w:p>
      <w:pPr>
        <w:spacing w:after="156" w:afterLines="50" w:line="360" w:lineRule="auto"/>
        <w:ind w:firstLine="482" w:firstLineChars="200"/>
        <w:rPr>
          <w:rFonts w:cs="宋体" w:asciiTheme="majorEastAsia" w:hAnsiTheme="majorEastAsia" w:eastAsiaTheme="majorEastAsia"/>
          <w:b/>
          <w:bCs/>
        </w:rPr>
      </w:pPr>
      <w:r>
        <w:rPr>
          <w:rFonts w:hint="eastAsia" w:cs="宋体" w:asciiTheme="majorEastAsia" w:hAnsiTheme="majorEastAsia" w:eastAsiaTheme="majorEastAsia"/>
          <w:b/>
          <w:bCs/>
        </w:rPr>
        <w:t>二、客户基本信息提示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（一）营业执照（副本及影印件）和年检证明。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（二）法人代码证书（副本及影印件）。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（三）法定代表人身份证明及其必要的个人信息。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（四）近三年经审计的资产负债表、损益表、业主权益变动表以及销量情况。成立不足三年的客户，提交自成立以来年度的报表。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（五）本年度及最近月份存借款及对外担保情况。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（六）税务部门年检合格的税务登记证明和近二年税务部门纳税证明资料复印件。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（七）合同或章程（原件及影印件）。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（八）董事会成员和主要负责人、财务负责人名单和签字样本等。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（九）若为有限责任客户、股份有限客户、合资合作客户或承包经营客户，要求提供董事会或发包人同意申请授信业务的决议、文件或具有同等法律效力的文件或证明。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（十）股东大会关于利润分配的决议。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（十一）现金流量预测及营运计划。</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（十二）授信业务由授权委托人办理的，需提供客户法定代表人授权委托书（原件）。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（十三）其他必要的资料（如海关等部门出具的相关文件等）。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对于中长期授信，还须有各类合格、有效的相关批准文件，预计资金来源及使用情况、预计的资产负债情况、损益情况、项目建设进度及营运计划。</w:t>
      </w:r>
    </w:p>
    <w:p>
      <w:pPr>
        <w:spacing w:after="156" w:afterLines="50" w:line="360" w:lineRule="auto"/>
        <w:ind w:firstLine="482" w:firstLineChars="200"/>
        <w:rPr>
          <w:rFonts w:cs="宋体" w:asciiTheme="majorEastAsia" w:hAnsiTheme="majorEastAsia" w:eastAsiaTheme="majorEastAsia"/>
          <w:b/>
          <w:bCs/>
        </w:rPr>
      </w:pPr>
      <w:r>
        <w:rPr>
          <w:rFonts w:hint="eastAsia" w:cs="宋体" w:asciiTheme="majorEastAsia" w:hAnsiTheme="majorEastAsia" w:eastAsiaTheme="majorEastAsia"/>
          <w:b/>
          <w:bCs/>
        </w:rPr>
        <w:t>三、主要授信品种风险分析提示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（一）流动性短期资金需求应关注：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1.融资需求的时间性（常年性还是季节性）；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2.对存货融资，要充分考虑当实际销售已经小于或将小于所预期的销售量时的风险和对策，以及存货本身的风险，如过时或变质；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3.应收账款的质量与坏账准备情况；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4.存货的周期。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（二）设备采购和更新融资需求应关注：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1.时机选择，宏观经济情况和行业展望；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2.未实现的生产能力；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3.其他提供资金的途径：长期授信、资本注入、出售资产；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4.其他因素可能对资金的影响。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（三）项目融资需求应关注：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1.项目可行性；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2.项目批准；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3.项目完工时限。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（四）中长期授信需求应关注：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1.客户当前的现金流量；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2.利率风险；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3.客户的劳资情况；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4.法规和政策变动可能给客户带来的影响；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5.客户的投资或负债率过大，影响其还款能力；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6.原材料短缺或变质；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7.第二还款来源情况恶化；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8.市场变化；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9.竞争能力及其变化；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10.高管层组成及变化；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11.产品质量可能导致产品销售的下降；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12.汇率波动对进出口原辅料及产成品带来的影响；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13.经营不善导致的盈利下降。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（五）对现有债务的再融资需求。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（六）贸易融资需求应关注：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1.汇率风险；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2.国家风险；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3.法律风险；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4.付款方式。</w:t>
      </w:r>
    </w:p>
    <w:p>
      <w:pPr>
        <w:spacing w:after="156" w:afterLines="50" w:line="360" w:lineRule="auto"/>
        <w:ind w:firstLine="482" w:firstLineChars="200"/>
        <w:rPr>
          <w:rFonts w:cs="宋体" w:asciiTheme="majorEastAsia" w:hAnsiTheme="majorEastAsia" w:eastAsiaTheme="majorEastAsia"/>
          <w:b/>
          <w:bCs/>
        </w:rPr>
      </w:pPr>
      <w:r>
        <w:rPr>
          <w:rFonts w:hint="eastAsia" w:cs="宋体" w:asciiTheme="majorEastAsia" w:hAnsiTheme="majorEastAsia" w:eastAsiaTheme="majorEastAsia"/>
          <w:b/>
          <w:bCs/>
        </w:rPr>
        <w:t>四、非财务因素分析风险提示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（一）客户管理者：</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重点考核客户管理者的人品、诚信度、授信动机、赢利能力以及其道德水准。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对客户的管理者风险应关注：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1.历史经营记录及其经验；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2.经营者相对于所有者的独立性；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3.品德与诚信度；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4.影响其决策的相关人员的情况；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5.决策过程；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6.所有者关系、组织结构和法律结构；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7.领导后备力量和中层主管人员的素质；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8.管理的政策、计划、实施和控制。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（二）识别客户的产品风险应关注：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1.产品定位、分散度与集中度、产品研发；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2.产品实际销售，潜在销售和库存变化；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3.核心产品和非核心产品，对市场变化的应变能力。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（三）识别客户生产过程的风险应关注：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1.原材料来源，对供应商的依赖度；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2.劳动密集型还是资本密集型；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3.设备状况；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4.技术状况。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（四）对客户的行业风险应关注：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1.行业定位；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2.竞争力和结构；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3.行业特征；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4.行业管制；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5.行业成功的关键因素。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（五）对宏观经济环境的风险应关注：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1.通货膨胀；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2.社会购买力；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3.汇率；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4.货币供应量；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5.税收；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6.政府财政支出；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7.价格控制；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8.工资调整；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9.贸易平衡；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10.失业；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11.GDP增长；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12.外汇来源；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13.外汇管制规定；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14.利率；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15.政府的其他管制。</w:t>
      </w:r>
    </w:p>
    <w:p>
      <w:pPr>
        <w:spacing w:after="156" w:afterLines="50" w:line="360" w:lineRule="auto"/>
        <w:ind w:firstLine="482" w:firstLineChars="200"/>
        <w:rPr>
          <w:rFonts w:cs="宋体" w:asciiTheme="majorEastAsia" w:hAnsiTheme="majorEastAsia" w:eastAsiaTheme="majorEastAsia"/>
          <w:b/>
          <w:bCs/>
        </w:rPr>
      </w:pPr>
      <w:r>
        <w:rPr>
          <w:rFonts w:hint="eastAsia" w:cs="宋体" w:asciiTheme="majorEastAsia" w:hAnsiTheme="majorEastAsia" w:eastAsiaTheme="majorEastAsia"/>
          <w:b/>
          <w:bCs/>
        </w:rPr>
        <w:t>五、格式合同文本主要条款提示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（一）客户必须提供的年度财务报告。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（二）客户必须持续保持银行要求的各项财务指标。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（三）未经银行允许，合同期内客户不得因主观原因关闭。</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（四）未经银行允许，客户分红不得超过税后净收入的一定比例。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（五）客户的资本支出不得超过银行要求的一定数额。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（六）未经银行允许，客户不得出售特定资产（主要指固定资产）。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（七）未经银行同意，客户不得向其他授信人申请授信。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（八）未经银行允许，客户不得更改与其他授信人的债务条款。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（九）未经银行允许，客户不得提前清偿其他长期债务。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（十）未经银行允许，客户不得进行兼并收购等活动。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（十一）未经银行允许，客户不得为第三方提供额外债务担保。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（十二）未经银行允许，客户不得向其他债权人或授信人抵押资产。</w:t>
      </w:r>
    </w:p>
    <w:p>
      <w:pPr>
        <w:spacing w:after="156" w:afterLines="50" w:line="360" w:lineRule="auto"/>
        <w:ind w:firstLine="482" w:firstLineChars="200"/>
        <w:rPr>
          <w:rFonts w:cs="宋体" w:asciiTheme="majorEastAsia" w:hAnsiTheme="majorEastAsia" w:eastAsiaTheme="majorEastAsia"/>
          <w:b/>
          <w:bCs/>
        </w:rPr>
      </w:pPr>
      <w:r>
        <w:rPr>
          <w:rFonts w:hint="eastAsia" w:cs="宋体" w:asciiTheme="majorEastAsia" w:hAnsiTheme="majorEastAsia" w:eastAsiaTheme="majorEastAsia"/>
          <w:b/>
          <w:bCs/>
        </w:rPr>
        <w:t>六、预警信号风险提示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（一）与客户品质有关的信号：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1.企业负责人失踪或无法联系；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2.客户不愿意提供与信用审核有关的文件；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3.在没有正当理由的情况下撤回或延迟提供与财务、业务、税收或抵押担保有关的信息或要求提供的其他文件；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4.资产或抵押品高估；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5.客户不愿意提供过去的所得税纳税单；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6.客户的竞争者、供货商或其他客户对授信客户产生负面评价；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7.改变主要授信银行，向许多银行借款或不断在这些银行中间借新还旧；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8.客户频繁更换会计人员或主要管理人员；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9.作为被告卷入法律纠纷；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10.有破产经历；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11.有些债务未在资产负债表上反映或列示；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12.客户内部或客户的审计机构使用的会计政策不够审慎。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（二）客户在银行账户变化的信号：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1.客户在银行的头寸不断减少；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2.对授信的长期占用；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3.缺乏财务计划，如总是突然向银行提出借款需求；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4.短期授信和长期授信错配；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5.在银行存款变化出现异常；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6.经常接到供货商查询核实头寸情况的电话；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7.突然出现大额资金向新交易商转移；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8.对授信的需求增长异常。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（三）客户管理层变化的信号：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1.管理层行为异常；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2.财务计划和报告质量下降；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3.业务战略频繁变化；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4.对竞争变化或其他外部条件变化缺少对策；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5.核心盈利业务削弱和偏离；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6.管理层主要成员家庭出现问题；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7.与以往合作的伙伴不再进行合作；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8.不遵守授信的承诺；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9.管理层能力不足或构成缺乏代表性；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10.缺乏技术工人或有劳资争议。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（四）业务运营环境变化的信号：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1.库存水平的异常变化；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2.工厂维护或设备管理落后；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3.核心业务发生变动；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4.缺乏操作控制、程序、质量控制等；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5.主要产品线上的供货商或客户流失。</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（五）财务状况变化信号：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1.付息或还本拖延，不断申请延期支付或申请实施新的授信或不断透支；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2.申请实施授信支付其他银行的债务，不交割抵押品，授信抵押品情况恶化；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3.违反合同规定；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4.支票收益人要求核实客户支票账户的余额；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5.定期存款账户余额减少；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6.授信需求增加，短期债务超常增加；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7.客户自身的配套资金不到位或不充足；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8.杠杆率过高，经常用短期债务支付长期债务；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9.现金流不足以支付利息；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10.其他银行提高对同一客户的利率；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11.客户申请无抵押授信产品或申请特殊还款方式；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12.交易和文件过于复杂；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13.银行无法控制抵押品和质押权。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（六）其他预警信号：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1.业务领域收缩；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2.无核心业务并过分追求多样化；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3.业务增长过快；</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4.市场份额下降。</w:t>
      </w:r>
    </w:p>
    <w:p>
      <w:pPr>
        <w:spacing w:after="156" w:afterLines="50" w:line="360" w:lineRule="auto"/>
        <w:ind w:firstLine="482" w:firstLineChars="200"/>
        <w:rPr>
          <w:rFonts w:cs="宋体" w:asciiTheme="majorEastAsia" w:hAnsiTheme="majorEastAsia" w:eastAsiaTheme="majorEastAsia"/>
          <w:b/>
          <w:bCs/>
        </w:rPr>
      </w:pPr>
      <w:r>
        <w:rPr>
          <w:rFonts w:hint="eastAsia" w:cs="宋体" w:asciiTheme="majorEastAsia" w:hAnsiTheme="majorEastAsia" w:eastAsiaTheme="majorEastAsia"/>
          <w:b/>
          <w:bCs/>
        </w:rPr>
        <w:t>七、客户履约能力风险提示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（一）成本和费用失控。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（二）客户现金流出现问题。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（三）客户产品或服务的市场需求下降。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（四）还款记录不正常。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（五）欺诈，如在对方付款后故意不提供相应的产品或服务。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（六）弄虚作假（如伪造或涂改各种批准文件或相关业务凭证）。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（七）对传统财务分析的某些趋势，例如市场份额的快速下降未作解释。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（八）客户战略、业务或环境的重大变动。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（九）某些欺诈信号，如无法证明财务记录的合法性。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（十）财务报表披露延迟。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（十一）未按合同还款。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（十二）未作客户破产的应急预案。</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（十三）对于信息的反应迟缓。</w:t>
      </w:r>
    </w:p>
    <w:p>
      <w:pPr>
        <w:pStyle w:val="2"/>
        <w:numPr>
          <w:ilvl w:val="0"/>
          <w:numId w:val="0"/>
        </w:numPr>
        <w:ind w:left="922" w:leftChars="0" w:hanging="440" w:firstLineChars="0"/>
      </w:pPr>
      <w:bookmarkStart w:id="164" w:name="_Toc30623"/>
      <w:r>
        <w:rPr>
          <w:rFonts w:cs="宋体" w:asciiTheme="majorEastAsia" w:hAnsiTheme="majorEastAsia" w:eastAsiaTheme="majorEastAsia"/>
          <w:b/>
          <w:bCs/>
          <w:sz w:val="24"/>
          <w:szCs w:val="24"/>
          <w:lang w:val="en-US" w:eastAsia="zh-CN" w:bidi="ar-SA"/>
        </w:rPr>
        <w:t>25.</w:t>
      </w:r>
      <w:r>
        <w:rPr>
          <w:rFonts w:hint="eastAsia"/>
        </w:rPr>
        <w:t>《银行抵债资产管理办法的通知》</w:t>
      </w:r>
      <w:bookmarkEnd w:id="164"/>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发文机构：财政部</w:t>
      </w:r>
      <w:r>
        <w:rPr>
          <w:rFonts w:hint="eastAsia" w:cs="宋体" w:asciiTheme="majorEastAsia" w:hAnsiTheme="majorEastAsia" w:eastAsiaTheme="majorEastAsia"/>
        </w:rPr>
        <w:tab/>
      </w:r>
      <w:r>
        <w:rPr>
          <w:rFonts w:hint="eastAsia" w:cs="宋体" w:asciiTheme="majorEastAsia" w:hAnsiTheme="majorEastAsia" w:eastAsiaTheme="majorEastAsia"/>
        </w:rPr>
        <w:t>文号：财金〔2005〕53号</w:t>
      </w:r>
    </w:p>
    <w:p>
      <w:pPr>
        <w:spacing w:after="156" w:afterLines="50" w:line="360" w:lineRule="auto"/>
        <w:ind w:firstLine="482" w:firstLineChars="200"/>
        <w:outlineLvl w:val="0"/>
        <w:rPr>
          <w:rFonts w:cs="宋体" w:asciiTheme="majorEastAsia" w:hAnsiTheme="majorEastAsia" w:eastAsiaTheme="majorEastAsia"/>
          <w:b/>
          <w:bCs/>
        </w:rPr>
      </w:pPr>
      <w:bookmarkStart w:id="165" w:name="_Toc24607"/>
      <w:r>
        <w:rPr>
          <w:rFonts w:hint="eastAsia" w:cs="宋体" w:asciiTheme="majorEastAsia" w:hAnsiTheme="majorEastAsia" w:eastAsiaTheme="majorEastAsia"/>
          <w:b/>
          <w:bCs/>
        </w:rPr>
        <w:t>第一章总则</w:t>
      </w:r>
      <w:bookmarkEnd w:id="16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为规范抵债资产管理，避免和减少资产损失，及时化解金融风险，根据国家有关法律法规，制定本办法。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本办法适用于经中国银行业监督管理委员会批准，在中华人民共和国境内依法设立的政策性银行和商业银行（以下简称“银行”）。信托投资公司、财务公司、金融租赁公司和信用社比照执行。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本办法所称抵债资产是指银行依法行使债权或担保物权而受偿于债务人、担保人或第三人的实物资产或财产权利。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办法所称以物抵债是指银行的债权到期，但债务人无法用货币资金偿还债务，或债权虽未到期，但债务人已出现严重经营问题或其他足以严重影响债务人按时足额用货币资金偿还债务，或当债务人完全丧失清偿能力时，担保人也无力以货币资金代为偿还债务，经银行与债务人、担保人或第三人协商同意，或经人民法院、仲裁机构依法裁决，债务人、担保人或第三人以实物资产或财产权利作价抵偿银行债权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本办法所称抵债资产入账价值是指银行取得抵债资产后，按照相关规定计入抵债资产科目的金额。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抵债金额是指取得抵债资产实际抵偿银行债务的金额。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抵债资产净值是指抵债资产账面余额扣除抵债资产减值准备后的净额。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取得抵债资产支付的相关税费是指银行收取抵债资产过程中所缴纳的契税、车船使用税、印花税、房产税等税金，以及所支出的过户费、土地出让金、土地转让费、水利建设基金、交易管理费、资产评估费等直接费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以物抵债管理应遵循严格控制、合理定价、妥善保管、及时处置的原则。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严格控制原则。银行债权应首先考虑以货币形式受偿，从严控制以物抵债。受偿方式以现金受偿为第一选择，债务人、担保人无货币资金偿还能力时，要优先选择以直接拍卖、变卖非货币资产的方式回收债权。当现金受偿确实不能实现时，可接受以物抵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（二）合理定价原则。抵债资产必须经过严格的资产评估来确定价值，评估程序应合法合规，要以市场价格为基础合理定价。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（三）妥善保管原则。对收取的抵债资产应妥善保管，确保抵债资产安全、完整和有效。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（四）及时处置原则。收取抵债资产后应及时进行处置，尽快实现抵债资产向货币资产的有效转化。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银行应建立健全抵债资产收取和处置的内部申报审批制度，明确申报流程、部门职责、审批权限，并对申报方案的内容、要件和所需材料作出规定。</w:t>
      </w:r>
    </w:p>
    <w:p>
      <w:pPr>
        <w:spacing w:after="156" w:afterLines="50" w:line="360" w:lineRule="auto"/>
        <w:ind w:firstLine="482" w:firstLineChars="200"/>
        <w:outlineLvl w:val="0"/>
        <w:rPr>
          <w:rFonts w:cs="宋体" w:asciiTheme="majorEastAsia" w:hAnsiTheme="majorEastAsia" w:eastAsiaTheme="majorEastAsia"/>
          <w:b/>
          <w:bCs/>
        </w:rPr>
      </w:pPr>
      <w:bookmarkStart w:id="166" w:name="_Toc8475"/>
      <w:r>
        <w:rPr>
          <w:rFonts w:hint="eastAsia" w:cs="宋体" w:asciiTheme="majorEastAsia" w:hAnsiTheme="majorEastAsia" w:eastAsiaTheme="majorEastAsia"/>
          <w:b/>
          <w:bCs/>
        </w:rPr>
        <w:t>第二章抵债资产的收取</w:t>
      </w:r>
      <w:bookmarkEnd w:id="16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以物抵债主要通过以下两种方式：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（一）协议抵债。经银行与债务人、担保人或第三人协商同意，债务人、担保人或第三人以其拥有所有权或处置权的资产作价，偿还银行债权。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（二）法院、仲裁机构裁决抵债。通过诉讼或仲裁程序，由终结的裁决文书确定将债务人、担保人或第三人拥有所有权或处置权的资产，抵偿银行债权。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诉讼程序和仲裁程序中的和解，参照协议抵债处理。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债务人出现下列情况之一，无力以货币资金偿还银行债权，或当债务人完全丧失清偿能力时，担保人也无力以货币资金代为偿还债务，或担保人根本无货币支付义务的，银行可根据债务人或担保人以物抵债协议或人民法院、仲裁机构的裁决，实施以物抵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（一）生产经营已中止或建设项目处于停、缓建状态。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（二）生产经营陷入困境，财务状况日益恶化，处于关、停、并、转状态。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（三）已宣告破产，银行有破产分配受偿权的。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（四）对债务人的强制执行程序无法执行到现金资产，且执行实物资产或财产权利按司法惯例降价处置仍无法成交的。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（五）债务人及担保人出现只有通过以物抵债才能最大限度保全银行债权的其他情况。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银行要根据债务人、担保人或第三人可受偿资产的实际情况，优先选择产权明晰、权证齐全、具有独立使用功能、易于保管及变现的资产作为抵债资产。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下列财产一般不得用于抵偿债务：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（一）法律规定的禁止流通物。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（二）抵债资产欠缴和应缴的各种税收和费用已经接近、等于或者高于该资产价值的。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（三）权属不明或有争议的资产。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（四）伪劣、变质、残损或储存、保管期限很短的资产。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（五）资产已抵押或质押给第三人，且抵押或质押价值没有剩余的。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（六）依法被查封、扣押、监管或者依法被以其他形式限制转让的资产（银行有优先受偿权的资产除外）。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（七）公益性质的生活设施、教育设施、医疗卫生设施等。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（八）法律禁止转让和转让成本高的集体所有土地使用权。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（九）已确定要被征用的土地使用权。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（十）其他无法变现的资产。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划拨的土地使用权原则上不能单独用于抵偿债务，如以该类土地上的房屋抵债的，房屋占用范围内的划拨土地使用权应当一并用于抵偿债务，但应首先取得获有审批权限的人民政府或土地行政管理部门的批准，并在确定抵债金额时扣除按照规定应补交的土地出让金及相关税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银行办理以物抵债前，应当进行实地调查，并到有关主管部门核实，了解资产的产权及实物状况，包括资产是否存在产权上的瑕疵，是否设定了抵押、质押等他项权利，是否拖欠工程款、税款、土地出让金及其他费用，是否涉及其他法律纠纷，是否被司法机关查封、冻结，是否属限制、禁止流通物等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银行应对抵债资产建立登记制度，并对每笔以物抵债设定抵债资产收取责任人，负责以物抵债的申报和抵债资产的收取、移交、登记等工作。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银行应合理确定抵债金额。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协议抵债的，原则上应在具有合法资质的评估机构进行评估确值的基础上，与债务人、担保人或第三人协商确定抵债金额。评估时，应要求评估机构以公开市场价值标准为原则，确定资产的市场价值，在可能的情况下应要求评估机构提供资产的快速变现价值。抵债资产欠缴的税费和取得抵债资产支付的相关税费应在确定抵债金额时予以扣除。</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采用诉讼、仲裁等法律手段追偿债权的，如债务人和担保人确无现金偿还能力，银行要及时申请法院或仲裁机构对债务人、担保人的财产进行拍卖或变卖，以拍卖或变卖所得偿还债权。若拍卖流拍后，银行要申请法院或仲裁机构按照有关法律规定或司法惯例降价后继续拍卖。确需收取抵债资产时，应比照协议抵债金额的确定原则，要求法院、仲裁机构以最后一次的拍卖保留价为基础，公平合理地确定抵债金额。</w:t>
      </w:r>
    </w:p>
    <w:p>
      <w:pPr>
        <w:spacing w:after="156" w:afterLines="50" w:line="360" w:lineRule="auto"/>
        <w:ind w:firstLine="482" w:firstLineChars="200"/>
        <w:outlineLvl w:val="0"/>
        <w:rPr>
          <w:rFonts w:cs="宋体" w:asciiTheme="majorEastAsia" w:hAnsiTheme="majorEastAsia" w:eastAsiaTheme="majorEastAsia"/>
          <w:b/>
          <w:bCs/>
        </w:rPr>
      </w:pPr>
      <w:bookmarkStart w:id="167" w:name="_Toc31588"/>
      <w:r>
        <w:rPr>
          <w:rFonts w:hint="eastAsia" w:cs="宋体" w:asciiTheme="majorEastAsia" w:hAnsiTheme="majorEastAsia" w:eastAsiaTheme="majorEastAsia"/>
          <w:b/>
          <w:bCs/>
        </w:rPr>
        <w:t>第三章抵债资产的保管</w:t>
      </w:r>
      <w:bookmarkEnd w:id="16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银行要按照有利于抵债资产经营管理和保管的原则，确定抵债资产经营管理主责任人，指定保管责任人，并明确各自职责。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银行在办理抵债资产接收后应根据抵债资产的类别（包括不动产、动产和权利等）、特点等决定采取上收保管、就地保管、委托保管等方式。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在抵债资产的收取直至处置期间，银行应妥善保管抵债资产，对抵债资产要建立定期检查、账实核对制度。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（一）银行要根据抵债资产的性质和状况定期或不定期进行检查和维护，及时掌握抵债资产实物形态及价值形态的变化情况，及时发现影响抵债资产价值的风险隐患并采取有针对性的防范和补救措施。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（二）每个季度应至少组织一次对抵债资产的账实核对，并作好核对记录。核对应做到账簿一致和账实相符，若有不符的，应查明原因，及时报告并据实处理。</w:t>
      </w:r>
    </w:p>
    <w:p>
      <w:pPr>
        <w:spacing w:after="156" w:afterLines="50" w:line="360" w:lineRule="auto"/>
        <w:ind w:firstLine="482" w:firstLineChars="200"/>
        <w:outlineLvl w:val="0"/>
        <w:rPr>
          <w:rFonts w:cs="宋体" w:asciiTheme="majorEastAsia" w:hAnsiTheme="majorEastAsia" w:eastAsiaTheme="majorEastAsia"/>
          <w:b/>
          <w:bCs/>
        </w:rPr>
      </w:pPr>
      <w:bookmarkStart w:id="168" w:name="_Toc11968"/>
      <w:r>
        <w:rPr>
          <w:rFonts w:hint="eastAsia" w:cs="宋体" w:asciiTheme="majorEastAsia" w:hAnsiTheme="majorEastAsia" w:eastAsiaTheme="majorEastAsia"/>
          <w:b/>
          <w:bCs/>
        </w:rPr>
        <w:t>第四章抵债资产的处置</w:t>
      </w:r>
      <w:bookmarkEnd w:id="168"/>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抵债资产收取后应尽快处置变现。以抵债协议书生效日，或法院、仲裁机构裁决抵债的终结裁决书生效日，为抵债资产取得日，不动产和股权应自取得日起2年内予以处置；除股权外的其他权利应在其有效期内尽快处置，最长不得超过自取得日起的2年；动产应自取得日起1年内予以处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银行处置抵债资产应坚持公开透明的原则，避免暗箱操作，防范道德风险。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抵债资产原则上应采用公开拍卖方式进行处置。选择拍卖机构时，要在综合考虑拍卖机构的业绩、管理水平、拍卖经验、客户资源、拍卖机构资信评定结果及合作关系等情况的基础上，择优选用。拍卖抵债金额1000万元（含）以上的单项抵债资产应通过公开招标方式确定拍卖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抵债资产拍卖原则上应采用有保留价拍卖的方式。确定拍卖保留价时，要对资产评估价、同类资产市场价、意向买受人询价、拍卖机构建议拍卖价进行对比分析，考虑当地市场状况、拍卖付款方式及快速变现等因素，合理确定拍卖保留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不适于拍卖的，可根据资产的实际情况，采用协议处置、招标处置、打包出售、委托销售等方式变现。采用拍卖方式以外的其他处置方式时，应在选择中介机构和抵债资产买受人的过程中充分引入竞争机制，避免暗箱操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抵债资产收取后原则上不能对外出租。因受客观条件限制，在规定时间内确实无法处置的抵债资产，为避免资产闲置造成更大损失，在租赁关系的确立不影响资产处置的情况下，可在处置时限内暂时出租。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银行不得擅自使用抵债资产。确因经营管理需要将抵债资产转为自用的，视同新购固定资产办理相应的固定资产购建审批手续。</w:t>
      </w:r>
    </w:p>
    <w:p>
      <w:pPr>
        <w:spacing w:after="156" w:afterLines="50" w:line="360" w:lineRule="auto"/>
        <w:ind w:firstLine="482" w:firstLineChars="200"/>
        <w:outlineLvl w:val="0"/>
        <w:rPr>
          <w:rFonts w:cs="宋体" w:asciiTheme="majorEastAsia" w:hAnsiTheme="majorEastAsia" w:eastAsiaTheme="majorEastAsia"/>
          <w:b/>
          <w:bCs/>
        </w:rPr>
      </w:pPr>
      <w:bookmarkStart w:id="169" w:name="_Toc16437"/>
      <w:r>
        <w:rPr>
          <w:rFonts w:hint="eastAsia" w:cs="宋体" w:asciiTheme="majorEastAsia" w:hAnsiTheme="majorEastAsia" w:eastAsiaTheme="majorEastAsia"/>
          <w:b/>
          <w:bCs/>
        </w:rPr>
        <w:t>第五章账务处理</w:t>
      </w:r>
      <w:bookmarkEnd w:id="169"/>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银行以抵债资产取得日为所抵偿贷款的停息日。银行应在取得抵债资产后，及时进行账务处理，严禁违规账外核算。</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 银行取得抵债资产时，按实际抵债部分的贷款本金和已确认的表内利息作为抵债资产入账价值。银行为取得抵债资产支付的抵债资产欠缴的税费、垫付的诉讼费用和取得抵债资产支付的相关税费计入抵债资产价值。银行按抵债资产入账价值依次冲减贷款本金和应收利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在取得抵债资产过程中向债务人收取补价的，按照实际抵债部分的贷款本金和表内利息减去收取的补价，作为抵债资产入账价值；如法院判决、仲裁或协议规定银行须支付补价的，则按照实际抵债部分的贷款本金、表内利息加上预计应支付的补价作为抵债资产入账价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 抵债金额超过债权本息总额的部分，不得先行向对方支付补价，如法院判决、仲裁或协议规定须支付补价的，待抵债资产处置变现后，将变现所得价款扣除抵债资产在保管、处置过程中发生的各项支出、加上抵债资产在保管、处置过程中的收入后，将实际超出债权本息的部分退给对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 抵债金额超过贷款本金和表内利息的部分，在未实际收回现金时，暂不确认为利息收入，待抵债资产处置变现后，再将实际可冲抵的表外利息确认为利息收入。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 除法律法规规定债权与债务关系已完全终结的情况外，抵债金额不足冲减债权本息的部分，应继续向债务人、担保人追偿，追偿未果的，按规定进行核销和冲减。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 抵债资产保管过程中发生的费用计入营业外支出；抵债资产未处置前取得的租金等收入计入营业外收入；处置过程中发生的费用，从处置收入中抵减。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 抵债资产处置时，抵债资产处置损益为实际取得的处置收入与抵债资产净值、变现税费以及可确认为利息收入的表外利息的差额，差额为正时，计入营业外收入，差额为负时，计入营业外支出。公式表示为：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营业外收入（或营业外支出）=实际取得的处置收入-（抵债资产账面余额-抵债资产减值准备）-变现税费-可确认为利息收入的表外利息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涉及补价的，抵债资产处置损益为实际取得的处置收入与抵债资产净值、变现税费、可确认为利息收入的表外利息、实际支付的补价超出（或少于）预计应支付补价部分的差额，差额为正时，计入营业外收入，差额为负时，计入营业外支出。公式表示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营业外收入（或营业外支出）=实际取得的处置收入-（抵债资产账面余额-抵债资产减值准备）-变现税费-可确认为利息收入的表外利息-（实际支付的补价-预计负债）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 银行应当在每季度末对抵债资产逐项进行检查，对预计可收回金额低于其账面价值的，应当计提减值准备。如已计提减值准备的抵债资产价值得以恢复，应在已计提减值准备的范围内转回，增加当期损益。抵债资产处置时，应将已计提的抵债资产减值准备一并结转损益。</w:t>
      </w:r>
    </w:p>
    <w:p>
      <w:pPr>
        <w:spacing w:after="156" w:afterLines="50" w:line="360" w:lineRule="auto"/>
        <w:ind w:firstLine="482" w:firstLineChars="200"/>
        <w:outlineLvl w:val="0"/>
        <w:rPr>
          <w:rFonts w:cs="宋体" w:asciiTheme="majorEastAsia" w:hAnsiTheme="majorEastAsia" w:eastAsiaTheme="majorEastAsia"/>
          <w:b/>
          <w:bCs/>
        </w:rPr>
      </w:pPr>
      <w:bookmarkStart w:id="170" w:name="_Toc29347"/>
      <w:r>
        <w:rPr>
          <w:rFonts w:hint="eastAsia" w:cs="宋体" w:asciiTheme="majorEastAsia" w:hAnsiTheme="majorEastAsia" w:eastAsiaTheme="majorEastAsia"/>
          <w:b/>
          <w:bCs/>
        </w:rPr>
        <w:t>第六章监督检查</w:t>
      </w:r>
      <w:bookmarkEnd w:id="17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第三十条 银行应当对抵债资产收取、保管和处置情况进行检查，发现问题及时纠正。在收取、保管、处置抵债资产过程中，有下列情况之一者，应视情节轻重进行处理；涉嫌违法犯罪的，应当移交司法机关，依法追究法律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（一）截留抵债资产经营处置收入的。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（二）擅自动用抵债资产的。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（三）未经批准收取、处置抵债资产的。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（四）恶意串通抵债人或中介机构，在收取抵债资产过程中故意高估抵债资产价格，或在处理抵债资产过程中故意低估价格，造成银行资产损失的。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（五）玩忽职守，怠于行使职权而造成抵债资产毁损、灭失的。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（六）擅自将抵债资产转为自用资产的。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（七）其他在抵债资产的收取、保管、处置过程中，违反本办法有关规定的行为。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第三十一条 财政主管部门应当加强对当地银行抵债资产收取、保管和处置情况的监督检查，对不符合本办法规定的，应当及时进行制止和纠正，并按照有关规定进行处理和处罚。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财政部驻各地财政监察专员办事处负责对当地中央管理的金融企业分支机构抵债资产收取、保管和处置的监督管理。</w:t>
      </w:r>
    </w:p>
    <w:p>
      <w:pPr>
        <w:spacing w:after="156" w:afterLines="50" w:line="360" w:lineRule="auto"/>
        <w:ind w:firstLine="482" w:firstLineChars="200"/>
        <w:outlineLvl w:val="0"/>
        <w:rPr>
          <w:rFonts w:cs="宋体" w:asciiTheme="majorEastAsia" w:hAnsiTheme="majorEastAsia" w:eastAsiaTheme="majorEastAsia"/>
          <w:b/>
          <w:bCs/>
        </w:rPr>
      </w:pPr>
      <w:bookmarkStart w:id="171" w:name="_Toc10914"/>
      <w:r>
        <w:rPr>
          <w:rFonts w:hint="eastAsia" w:cs="宋体" w:asciiTheme="majorEastAsia" w:hAnsiTheme="majorEastAsia" w:eastAsiaTheme="majorEastAsia"/>
          <w:b/>
          <w:bCs/>
        </w:rPr>
        <w:t>第七章附则</w:t>
      </w:r>
      <w:bookmarkEnd w:id="171"/>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第三十二条 银行可以根据本办法制定实施细则，报主管财政部门备案。</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第三十三条 本办法自2005年7月1日起施行。此前发布的有关抵债资产管理的规定与本办法相抵触的，以本办法为准。</w:t>
      </w:r>
    </w:p>
    <w:p>
      <w:pPr>
        <w:pStyle w:val="2"/>
        <w:numPr>
          <w:ilvl w:val="0"/>
          <w:numId w:val="0"/>
        </w:numPr>
        <w:ind w:left="922" w:leftChars="0" w:hanging="440" w:firstLineChars="0"/>
      </w:pPr>
      <w:bookmarkStart w:id="172" w:name="_Toc18876"/>
      <w:r>
        <w:rPr>
          <w:rFonts w:cs="宋体" w:asciiTheme="majorEastAsia" w:hAnsiTheme="majorEastAsia" w:eastAsiaTheme="majorEastAsia"/>
          <w:b/>
          <w:bCs/>
          <w:sz w:val="24"/>
          <w:szCs w:val="24"/>
          <w:lang w:val="en-US" w:eastAsia="zh-CN" w:bidi="ar-SA"/>
        </w:rPr>
        <w:t>26.</w:t>
      </w:r>
      <w:r>
        <w:rPr>
          <w:rFonts w:hint="eastAsia"/>
        </w:rPr>
        <w:t>《中国人民银行关于完善票据业务制度有关问题的通知》</w:t>
      </w:r>
      <w:bookmarkEnd w:id="17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发文机构：中国人民银行</w:t>
      </w:r>
      <w:r>
        <w:rPr>
          <w:rFonts w:hint="eastAsia" w:cs="宋体" w:asciiTheme="majorEastAsia" w:hAnsiTheme="majorEastAsia" w:eastAsiaTheme="majorEastAsia"/>
        </w:rPr>
        <w:tab/>
      </w:r>
      <w:r>
        <w:rPr>
          <w:rFonts w:hint="eastAsia" w:cs="宋体" w:asciiTheme="majorEastAsia" w:hAnsiTheme="majorEastAsia" w:eastAsiaTheme="majorEastAsia"/>
        </w:rPr>
        <w:t>文号：银发〔2005〕235号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中国人民银行各分行、营业管理部、省会(首府)城市中心支行，各政策性银行、国有独资商业银行、股份制商业银行：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为规范和促进票据业务健康发展，进一步明确票据业务的相关制度，现就有关事项通知如下：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一、关于商业汇票真实交易关系的审查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根据《中华人民共和国票据法》的规定，商业汇票的签发、取得和转让应具有真实的交易关系和债权债务关系。出票人（持票人）向银行申请办理承兑或贴现时，承兑行和贴现行应按照支付结算制度的相关规定，对商业汇票的真实交易关系和债权债务关系进行审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承兑汇票的承兑行负责对出票人的资格、资信、交易合同和汇票记载的内容等进行审查。商业汇票的持票人向银行申请贴现时，贴现申请人应向银行提供交易合同原件、贴现申请人与其直接前手之间根据税收制度有关规定开具的增值税发票或普通发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贴现银行向其他银行转贴现或向人民银行申请再贴现时，不再提供贴现申请人与其直接前手之间的交易合同、增值税发票或普通发票，但需对票据的要式性和文义性是否符合有关法律、法规和规章制度的规定承担审核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二、关于票据质押的相关处理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（一）票据质押时，应按《中华人民共和国票据法》的有关规定作成质押背书。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（二）主债务履行完毕，票据解除质押时，被背书人应以单纯交付的方式将质押票据退还背书人。票据到期时，由持票人按支付结算制度的有关规定行使票据权利。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质押票据所担保的债务到期后，背书人未能如期履行债务时，被背书人依法实现质权，但不得将票据进行转让或者贴现。被背书人在票据到期时按支付结算制度的有关规定行使票据权利。被背书人为银行的，比照商业汇票贴现到期收回的处理手续，并在托收凭证备注栏注明“质押票据收款”字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出质人与质权人签定质押合同时，应充分考虑债务期限与票据的提示付款期限等情况，并明确双方的权利义务，避免产生票据纠纷。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三、关于银行承兑汇票的查询查复方式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对银行承兑汇票的查询查复除采用《中国人民银行关于商业银行跨行银行承兑汇票查询、查复业务处理问题的通知》（银发〔2002〕63号）中规定的方式外，还可以采用以下方式：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（一）通过大额支付系统查询查复。银行承兑汇票查询查复的具体业务处理应遵循《大额支付系统业务处理办法（试行）》的有关规定。（通过大额支付系统查询、查复银行承兑汇票的业务处理程序见附件）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（二）传真查询。承兑行接到查询行传真的查询书后，应将汇票的第一联（卡片）传真给查询行。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利用中国外汇交易中心暨全国银行间同业拆借中心的“中国票据”网进行查询查复。通过“中国票据”网查询查复的商业银行，应与中国外汇交易中心暨全国银行间同业拆借中心以协议的形式约定，并明确双方的权利义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（四）实地查询。查询行可以派人持票到承兑行查询。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四、其他相关问题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持票人持未经背书转让的商业汇票委托开户银行向承兑银行收取票款时，托收凭证上填制的收款人名称应与票面记载的收款人名称一致；开户行名称和账号可与票面记载的收款人开户行名称和账号不同，但托收凭证上填制的开户行与票面记载的收款人开户行应是同系统的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（二）未在银行开立结算账户的个人持转账银行汇票兑付时，应选择与出票行同系统的任何一家银行机构或出票行的代理兑付银行提示付款，付款行或代理付款行应按支付结算制度相关规定审核付款。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（三）人民银行为商业银行办理商业汇票再贴现后，必须严格按照支付结算制度的有关规定办理再贴现票款的到期收回手续，不得以其他方式要求再贴现申请行办理票款到期收回。</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本通知自2005年10月1日起执行。请人民银行各分行、营业管理部、省会（首府）城市中心支行将本通知转发至所在省（自治区、直辖市）的城市商业银行、农村商业银行、农村合作银行、城乡信用社和外资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请各单位将执行情况和执行过程中遇到的问题及时报告人民银行总行。联系人：欧韵君联系电话：010－66195542</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中国人民银行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二００五年九月五日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附件：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通过大额支付系统查询、查复银行承兑汇票的业务处理程序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商业银行可通过大额支付系统的CMT301、302报文进行银行承兑汇票的查询查复。利用CMT301报文进行查询时，第1项查询日期为8位数字（格式为年年年年月月日日）；第2项查询行行号和第4项查复行行号为支付系统行号，为12位数字；第3项查询书号由查询行顺序编号，为8位数字；第5项原发报日期填写银行承兑汇票的承兑日期，为8位数字（格式为年年年年月月日日）；第6项、第7项、第8项、第10项按报文格式，全部输入“0”；第9项货币符号、金额填写“汇票金额”，输入格式为“3x15n”；第11项查询内容最长为255个字符，输入的内容及格式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1、汇票号码：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2、出票日期：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3、汇票到期日：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4、出票人全称：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5、收款人全称：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6、付款行全称：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其中，出票日期、汇票到期日为8位数字（格式为年年年年月月日日）。汇票号码、出票人全称、收款人全称、付款行全称应与票面记载一致。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查复行利用CMT302报文进行查复时，第1项查复日期和第5项原查询日期为8位数字（格式为年年年年月月日日）；第2项查复行行号和第4项查询行行号为支付系统行号，为12位数字；第3项查复书号由查复行顺序编号，为8位数字；第6项原查询书号由系统自动生成，为8位数字（格式为年年年年月月日日）；第7项到第10项、第12项按报文格式，全部输入“0”；第11项货币符号、金额填写“汇票金额”，输入格式为“3x15n”。第13项查复内容最长为255个字符，输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“查询汇票与我行承兑汇票记载内容一致”或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“查询汇票与我行承兑汇票记载内容不符，具体不符事项为：……”。</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查复行只能在第13项内容中记载上述二者之一。</w:t>
      </w:r>
    </w:p>
    <w:p>
      <w:pPr>
        <w:pStyle w:val="2"/>
        <w:numPr>
          <w:ilvl w:val="0"/>
          <w:numId w:val="0"/>
        </w:numPr>
        <w:ind w:left="922" w:leftChars="0" w:hanging="440" w:firstLineChars="0"/>
      </w:pPr>
      <w:bookmarkStart w:id="173" w:name="_Toc14427"/>
      <w:r>
        <w:rPr>
          <w:rFonts w:cs="宋体" w:asciiTheme="majorEastAsia" w:hAnsiTheme="majorEastAsia" w:eastAsiaTheme="majorEastAsia"/>
          <w:b/>
          <w:bCs/>
          <w:sz w:val="24"/>
          <w:szCs w:val="24"/>
          <w:lang w:val="en-US" w:eastAsia="zh-CN" w:bidi="ar-SA"/>
        </w:rPr>
        <w:t>27.</w:t>
      </w:r>
      <w:r>
        <w:rPr>
          <w:rFonts w:hint="eastAsia"/>
        </w:rPr>
        <w:t>《中国银行业监督管理委员会关于继续深入贯彻落实国家宏观调控措施切实加强信贷管理的通知》</w:t>
      </w:r>
      <w:bookmarkEnd w:id="17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各银监局，各政策性银行、国有商业银行、股份制商业银行，各金融资产管理公司，国家邮政局邮政储汇局、银监会直接监管的信托投资公司、财务公司、租赁公司：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今年一季度以来，国民经济继续保持平稳较快增长，经济效益进一步提高，银行业稳健经营。但是，部分银行信贷投放增长偏快，潜在风险增加。为此，各银监局和银行业金融机构要认清形势，坚持科学发展观，抓住国家宏观调控的有利时机，优化贷款结构，转变增长方式，有效防范和控制信用风险。现就有关事项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牢固树立资本约束观念，加强资本充足率管理。要始终按照监管规定，强化资本充足率的动态管理，严格执行资本充足率的达标要求。要积极巩固资本充足率的达标成果，通过提高盈利水平等方式积极拓展资本来源，确保资本充足率的合理逐步提高。要积极运用经济资本等手段，合理分配经营资源，控制贷款增长偏快趋势，提高抵御风险的能力和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继续坚持有保有压、区别对待的原则，着力推进信贷结构调整。要严格按照国家宏观调控和产业政策的要求，支持符合国家产业政策和市场准入条件的项目和企业的信贷投放，加大对农业、小企业和消费贷款的支持力度。对六类产能过剩行业（如钢铁、电解铝、电石、铁合金、焦碳、汽车）和四类产需基本平衡但规模过大的行业（如水泥、煤炭、电力和纺织）严格贷款审批制度，科学地管控房地产信贷增长，努力发挥银行信贷在配置市场资源中的基础性作用。要加强贷款的期限管理，密切关注贷款的业务结构变化，有效控制结构性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整顿和规范打捆贷款，规范贷款经营行为。要严格按照发展改革委、财政部、建设部、人民银行和银监会等五部委《关于加强宏观调控整顿和规范各类打捆贷款的通知》（银监发[2006]27号）要求，整顿和规范各类打捆贷款，切实防范贷款项目的信用风险和法律风险。同时，不得再向其他有关银行购买贷款，进一步规范贷款经营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严密监测信贷资金流向，确保信贷资金安全。要严控通过股票质押贷款、券商贷款、上市公司担保、基金等方式将信贷资金直接或间接流向股市。各行应建立严密的监测、分析系统，严禁信贷资金违规流入股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严防贷款集中风险，防止贷款在行业、地区和客户范围内的过度集中。要加强贷款行业、地区结构的分析管理，切实遵守银监会关于集团客户授信、关联交易等方面的监管要求，完善集团客户授信风险管理政策，加强统一授信管理，注意防范集团客户内部关联方之间互相担保的风险。对集团客户贷款超过风险承受能力的，要积极采取银团贷款等措施分散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严格遵守“准确分类、提足拨备”监管要求，坚持审慎经营。要完善信用风险识别、计量、控制的方法和手段，提高贷款五级分类的科学性、合理性和准确性。增强不良贷款损失预测的能力，提足拨备，降低风险，努力建立动态的拨备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建立健全科学的考核评价体系，合理引导经营行为。要调整经营目标，完善核算办法，加强成本控制。合理分摊信贷成本和营运成本，有效防止基层机构不计成本，片面追求市场份额的不合理行为，加强信贷成本和营运成本对基层机构经营行为的控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完善授信问责制度，严格追究责任。要认真落实银监会《商业银行授信工作尽职指引》的有关规定，坚持授信审批双线制衡原则和授信尽职调查制度。同时，要加大责任追究力度，对未尽职而出现不良贷款的，要依法严肃追究相关人员的责任，并将责任追究情况及时上报银监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深化案件专项治理，认真做好信贷案件查防工作。要按照案件专项治理工作的总体要求，结合当前正在开展的商业贿赂治理工作，认真查找信贷管理中的薄弱环节，堵塞管理漏洞，加强信贷管理制度建设，严肃查处违法违规行为，严防信贷案件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十、转变经营方式，加快体制和机制创新。积极探索以市场为导向，以客户为中心的经营模式，大力拓展中间业务，加大对非利差收入业务的创新力度，实现可持续健康发展。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请各银监局将此文转发至辖内各银行业金融机构。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二00六年六月六日</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ab/>
      </w:r>
    </w:p>
    <w:p>
      <w:pPr>
        <w:pStyle w:val="2"/>
        <w:numPr>
          <w:ilvl w:val="0"/>
          <w:numId w:val="0"/>
        </w:numPr>
        <w:ind w:left="922" w:leftChars="0" w:hanging="440" w:firstLineChars="0"/>
      </w:pPr>
      <w:bookmarkStart w:id="174" w:name="_Toc25898"/>
      <w:r>
        <w:rPr>
          <w:rFonts w:cs="宋体" w:asciiTheme="majorEastAsia" w:hAnsiTheme="majorEastAsia" w:eastAsiaTheme="majorEastAsia"/>
          <w:b/>
          <w:bCs/>
          <w:sz w:val="24"/>
          <w:szCs w:val="24"/>
          <w:lang w:val="en-US" w:eastAsia="zh-CN" w:bidi="ar-SA"/>
        </w:rPr>
        <w:t>28.</w:t>
      </w:r>
      <w:r>
        <w:rPr>
          <w:rFonts w:hint="eastAsia"/>
        </w:rPr>
        <w:t>《商业银行小企业授信工作尽职指引(试行)》</w:t>
      </w:r>
      <w:bookmarkEnd w:id="174"/>
    </w:p>
    <w:p>
      <w:pPr>
        <w:spacing w:after="156" w:afterLines="50" w:line="360" w:lineRule="auto"/>
        <w:ind w:firstLine="480" w:firstLineChars="200"/>
        <w:outlineLvl w:val="0"/>
        <w:rPr>
          <w:rFonts w:cs="宋体" w:asciiTheme="majorEastAsia" w:hAnsiTheme="majorEastAsia" w:eastAsiaTheme="majorEastAsia"/>
        </w:rPr>
      </w:pPr>
      <w:bookmarkStart w:id="175" w:name="_Toc8043"/>
      <w:r>
        <w:rPr>
          <w:rFonts w:hint="eastAsia" w:cs="宋体" w:asciiTheme="majorEastAsia" w:hAnsiTheme="majorEastAsia" w:eastAsiaTheme="majorEastAsia"/>
        </w:rPr>
        <w:t>发文机构：中国银行业监督管理委员会(已撤销)</w:t>
      </w:r>
      <w:bookmarkEnd w:id="175"/>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文号：银监发〔2006〕69号</w:t>
      </w:r>
    </w:p>
    <w:p>
      <w:pPr>
        <w:spacing w:after="156" w:afterLines="50" w:line="360" w:lineRule="auto"/>
        <w:ind w:firstLine="482" w:firstLineChars="200"/>
        <w:outlineLvl w:val="0"/>
        <w:rPr>
          <w:rFonts w:cs="宋体" w:asciiTheme="majorEastAsia" w:hAnsiTheme="majorEastAsia" w:eastAsiaTheme="majorEastAsia"/>
          <w:b/>
          <w:bCs/>
        </w:rPr>
      </w:pPr>
      <w:bookmarkStart w:id="176" w:name="_Toc28299"/>
      <w:r>
        <w:rPr>
          <w:rFonts w:hint="eastAsia" w:cs="宋体" w:asciiTheme="majorEastAsia" w:hAnsiTheme="majorEastAsia" w:eastAsiaTheme="majorEastAsia"/>
          <w:b/>
          <w:bCs/>
        </w:rPr>
        <w:t>第一章总则</w:t>
      </w:r>
      <w:bookmarkEnd w:id="17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进一步完善商业银行小企业授信工作机制，规范小企业授信管理，明确授信工作尽职要求，促进小企业授信业务可持续发展，依据《中华人民共和国商业银行法》、《中华人民共和国银行业监督管理法》、《银行开展小企业贷款业务指导意见》等法律法规和相关规定，制定本指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小企业授信工作尽职是指商业银行从事小企业授信业务调查、授信审查、授信审批、授信后管理等各项授信业务活动的工作人员履行了本指引规定的最基本的尽职要求。对微小企业的小额授信，商业银行可视情况简化上述授信环节，适当扩大客户经理授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商业银行应制定小企业授信政策，建立决策机制、管理信息系统和业务操作流程，并及时进行评估和完善。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商业银行制定的小企业授信政策应体现小企业经营规律、小企业授信业务风险特点，并实行差别化授信管理。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（一）应注重实地调查和信息收集，了解和掌握客户经营动态和资信状况。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（二）应在控制风险的前提下，合理设定对小企业授信的审批权限，简化审批流程，提高审批效率。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（三）应建立风险定价机制，对不同小企业或不同授信实行差别定价，并随风险变化及时调整。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（四）应对小企业授信业务单独核算。</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（五）应建立激励约束机制，将小企业信贷人员的收入与业务量、贷款风险、贷款收益等指标挂钩。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（六）应积极开展产品创新，推出符合小企业需求的授信产品和金融服务。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（七）应以客户为导向，建立灵活适用的授信工作机制，在授信金额、利率、期限等方面满足小企业灵活、多样的信贷需求。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商业银行应建立小企业授信管理部门和专业队伍。小企业授信业务应实行客户经理制，坚持双人进行业务调查。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商业银行应鼓励客户经理在商业银行服务所在社区建立广泛的、经常性的社区关系，以收集信息，提高效率，监督贷款的使用情况。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商业银行应加强对小企业授信工作人员的培训，使其更新理念，掌握小企业授信业务特点和风险控制方法，提高营销和收集、整理、分析财务和非财务信息的能力，熟悉小企业授信工作职责和尽职要求，逐步形成良好的小企业信贷文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商业银行小企业授信工作人员及授信工作尽职评价人员应遵循客观、公正、诚信原则，独立履行职责，不受人为的外部因素干扰。小企业授信工作人员应在授信业务活动中声明是否为授信申请人的关系人。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商业银行应加强小企业授信档案管理，对银企双方的权利、义务、约定、各种形式的往来及违约纠正措施进行客观、全面的记录并存档。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商业银行应建立小企业授信工作尽职评价制度及相应的问责与免责制度，明确规定各授信部门、岗位的职责和尽职要求，对违法、违规造成的授信风险进行责任认定，并按规定对有关责任人进行处理。</w:t>
      </w:r>
    </w:p>
    <w:p>
      <w:pPr>
        <w:spacing w:after="156" w:afterLines="50" w:line="360" w:lineRule="auto"/>
        <w:ind w:firstLine="482" w:firstLineChars="200"/>
        <w:outlineLvl w:val="0"/>
        <w:rPr>
          <w:rFonts w:cs="宋体" w:asciiTheme="majorEastAsia" w:hAnsiTheme="majorEastAsia" w:eastAsiaTheme="majorEastAsia"/>
          <w:b/>
          <w:bCs/>
        </w:rPr>
      </w:pPr>
      <w:bookmarkStart w:id="177" w:name="_Toc1971"/>
      <w:r>
        <w:rPr>
          <w:rFonts w:hint="eastAsia" w:cs="宋体" w:asciiTheme="majorEastAsia" w:hAnsiTheme="majorEastAsia" w:eastAsiaTheme="majorEastAsia"/>
          <w:b/>
          <w:bCs/>
        </w:rPr>
        <w:t>第二章授信调查尽职要求</w:t>
      </w:r>
      <w:bookmarkEnd w:id="17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商业银行应根据本行发展战略和小企业业务特点，细分市场，研究各类目标客户群的经营规律和风险特征，明确客户的基本准入条件。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客户经理应根据授信种类收集客户基本信息，包括客户身份证明、授信主体资格、财务信息等，具体参见《附录》中的“客户基本信息提示”。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客户经理应关注并收集客户的非财务信息，包括业主或主要股东个人信息及家庭资信情况、企业经营管理、技术、行业状况及市场前景等，具体参见《附录》中的“非财务信息提示”。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客户经理应对客户提供的资料以及所收集信息的合法性、真实性进行核实，核实的过程和结果应予以记载。核实应以实地调查为主。信息收集与核实可同时进行。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客户经理应根据调查核实的信息，编制有关小企业或其业主或主要股东的资产负债表和现金流量表，作为分析客户财务状况和偿还能力的主要依据。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客户经理应根据核实、分析结果，出具书面调查报告。调查报告应对客户借款事由、还款能力、现金流量、业主或主要股东个人信用情况进行分析，并对授信品种、金额、用途、利率、服务收费、期限、偿还方式、担保条件等提出建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调查报告内容还须包含对银监会等相关征信系统中有关小企业及其业主或主要股东个人的查询情况。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撰写调查报告应遵循适用、精炼和标准化，在90天内向同一客户多次授信时，经确认客户资信未发生实质性变化，原有调查报告在补充有关情况后继续有效。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客户经理应对调查报告中所含信息的真实性及调查结论负责。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商业银行可授予客户经理一定的授信权，经授信调查、核实后，两名客户经理可在权限内决定是否予以授信，并实行双签制。对微小企业的小额授信，客户经理可把客户生产经营货款回笼情况、缴纳各种税费情况、诚信记录等反映偿还能力和偿还意愿的基本信息作为授信与否的主要依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发生影响客户履约能力的重大事项时，商业银行应实地调查核实，并在档案中予以记载。同时，授信工作人员应加强沟通，确保各方均能及时掌握相关信息。影响客户履约能力的重大事项包括：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（一）外部政策、经济环境发生重大变化；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（二）客户业主或主要股东或关联企业超能力对外担保，或抵（质）押物价值发生重大变化；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（三）客户业主或主要股东或关联企业财务状况发生重大变化；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（四）客户业主或主要股东或关联企业涉及诉讼；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（五）客户业主或主要股东或关联企业有重大违约行为；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（六）客户业主或主要股东，或关键管理人员，或技术人员发生变动；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（七）客户发生购并、重组或产权变更；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（八）其他。</w:t>
      </w:r>
    </w:p>
    <w:p>
      <w:pPr>
        <w:spacing w:after="156" w:afterLines="50" w:line="360" w:lineRule="auto"/>
        <w:ind w:firstLine="482" w:firstLineChars="200"/>
        <w:outlineLvl w:val="0"/>
        <w:rPr>
          <w:rFonts w:cs="宋体" w:asciiTheme="majorEastAsia" w:hAnsiTheme="majorEastAsia" w:eastAsiaTheme="majorEastAsia"/>
          <w:b/>
          <w:bCs/>
        </w:rPr>
      </w:pPr>
      <w:bookmarkStart w:id="178" w:name="_Toc26640"/>
      <w:r>
        <w:rPr>
          <w:rFonts w:hint="eastAsia" w:cs="宋体" w:asciiTheme="majorEastAsia" w:hAnsiTheme="majorEastAsia" w:eastAsiaTheme="majorEastAsia"/>
          <w:b/>
          <w:bCs/>
        </w:rPr>
        <w:t>第三章授信审查尽职要求</w:t>
      </w:r>
      <w:bookmarkEnd w:id="178"/>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商业银行应根据不同客户、不同授信品种的风险特征，有针对性地制定授信审查要求。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对信誉良好的小企业客户实行相应的授信激励政策，可逐步提高授信金额、延长授信期限或提供其他授信优惠条件。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授信审查人员应对授信材料的合规性、有效性和完整性进行审查。授信调查、授信审查环节可根据需要由不同人员同时进行。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授信审查人员应根据客户或其业主或主要股东个人的资产、负债、现金流状况等，对影响客户财务状况的各项主要因素进行分析评价。必要时可重新编制客户资产负债表和现金流量表。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授信审查人员应对客户经营状况、资信情况、抵（质）押物或保证情况及其他非财务信息等进行分析评价，审查或验证授信金额、授信期限和授信用途的合理性。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 授信审查人员应根据审查与分析结果，出具书面审查意见。经审查同意的授信业务，审查意见应明确授信品种、金额、用途、利率、服务收费、期限、偿还方式、担保条件、授信条件等内容，并提示授信潜在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授信审查人员应对审查意见负责。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 商业银行可授权授信审查人员一定的授信权，经授信调查、审查后，授信审查人员和客户经理可在权限内决定是否予以授信，并实行双签制。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 发生影响客户履约能力的重大事项时，商业银行应及时重新进行授信审查。</w:t>
      </w:r>
    </w:p>
    <w:p>
      <w:pPr>
        <w:spacing w:after="156" w:afterLines="50" w:line="360" w:lineRule="auto"/>
        <w:ind w:firstLine="482" w:firstLineChars="200"/>
        <w:outlineLvl w:val="0"/>
        <w:rPr>
          <w:rFonts w:cs="宋体" w:asciiTheme="majorEastAsia" w:hAnsiTheme="majorEastAsia" w:eastAsiaTheme="majorEastAsia"/>
          <w:b/>
          <w:bCs/>
        </w:rPr>
      </w:pPr>
      <w:bookmarkStart w:id="179" w:name="_Toc17706"/>
      <w:r>
        <w:rPr>
          <w:rFonts w:hint="eastAsia" w:cs="宋体" w:asciiTheme="majorEastAsia" w:hAnsiTheme="majorEastAsia" w:eastAsiaTheme="majorEastAsia"/>
          <w:b/>
          <w:bCs/>
        </w:rPr>
        <w:t>第四章授信审批尽职要求</w:t>
      </w:r>
      <w:bookmarkEnd w:id="179"/>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 商业银行应在风险可控的前提下，建立差别化的小企业授信、授权机制。授信审批应在授权范围内进行，不得超越权限审批授信。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 商业银行应制定明确的小企业授信审批程序。授信审批应依据程序进行。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 商业银行小企业授信不得用于国家政策、法律法规禁止或限制的行业、项目和产品。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 对关系人申请的授信业务，授信审批人员应申请回避。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第三十条 授信审批人员应出具审批意见。经审批同意的授信业务，审批意见应明确授信品种、金额、用途、利率、服务收费、期限、偿还方式、担保条件、授信条件等内容。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授信审批人员应对审批意见负责。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第三十一条 商业银行应按授信审批意见实施授信。授信条件发生变更的，商业银行应及时重新审批或变更授信。授信条件未落实或发生变更未重新审批的，商业银行不得实施授信。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第三十二条 商业银行在实施授信业务时应签署相应的法律文件，确保法律文件的合法性、合规性、有效性、可行性。</w:t>
      </w:r>
    </w:p>
    <w:p>
      <w:pPr>
        <w:spacing w:after="156" w:afterLines="50" w:line="360" w:lineRule="auto"/>
        <w:ind w:firstLine="482" w:firstLineChars="200"/>
        <w:outlineLvl w:val="0"/>
        <w:rPr>
          <w:rFonts w:cs="宋体" w:asciiTheme="majorEastAsia" w:hAnsiTheme="majorEastAsia" w:eastAsiaTheme="majorEastAsia"/>
          <w:b/>
          <w:bCs/>
        </w:rPr>
      </w:pPr>
      <w:bookmarkStart w:id="180" w:name="_Toc28216"/>
      <w:r>
        <w:rPr>
          <w:rFonts w:hint="eastAsia" w:cs="宋体" w:asciiTheme="majorEastAsia" w:hAnsiTheme="majorEastAsia" w:eastAsiaTheme="majorEastAsia"/>
          <w:b/>
          <w:bCs/>
        </w:rPr>
        <w:t>第五章授信后管理尽职要求</w:t>
      </w:r>
      <w:bookmarkEnd w:id="18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第三十三条 商业银行应制定专门的小企业授信后管理监测制度，结合授信偿还方式，实施有效的授信后管理。发生影响客户履约能力的重大事项时，应及时形成书面报告。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第三十四条 商业银行应严格按照监管部门的监管要求及本行风险管理制度，对已实施授信进行风险分类。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第三十五条 商业银行应动态监测，及时发现授信客户的潜在风险并进行风险预警提示，具体参见《附录》中的“预警信号风险提示”。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第三十六条 商业银行应根据授信后监测结果和风险状况及时采取措施，调整风险分类结果，并视情况决定是否对授信进行调整，包括展期、缩减授信、要求借款人提前还款、终止授信等。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第三十七条 商业银行应设定科学、合理的小企业坏账容忍度；对出现逾期或欠息的授信要及时清收处置，对需用法律手段进行催收的授信，应指定专人管理。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第三十八条 商业银行应建立合理的小企业不良资产核销机制。对核销的损失类授信要做到“账销、案存、权在”。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第三十九条 商业银行应将客户违约信息及时录入本行信贷管理信息系统或在内部进行通报；应定期向银行业监管机构报告；应通过银行同业协会和新闻媒体，对恶意逃废银行债务的小企业予以通报、曝光、联合制裁。</w:t>
      </w:r>
    </w:p>
    <w:p>
      <w:pPr>
        <w:spacing w:after="156" w:afterLines="50" w:line="360" w:lineRule="auto"/>
        <w:ind w:firstLine="482" w:firstLineChars="200"/>
        <w:outlineLvl w:val="0"/>
        <w:rPr>
          <w:rFonts w:cs="宋体" w:asciiTheme="majorEastAsia" w:hAnsiTheme="majorEastAsia" w:eastAsiaTheme="majorEastAsia"/>
          <w:b/>
          <w:bCs/>
        </w:rPr>
      </w:pPr>
      <w:bookmarkStart w:id="181" w:name="_Toc16688"/>
      <w:r>
        <w:rPr>
          <w:rFonts w:hint="eastAsia" w:cs="宋体" w:asciiTheme="majorEastAsia" w:hAnsiTheme="majorEastAsia" w:eastAsiaTheme="majorEastAsia"/>
          <w:b/>
          <w:bCs/>
        </w:rPr>
        <w:t>第六章授信工作尽职评价要求</w:t>
      </w:r>
      <w:bookmarkEnd w:id="181"/>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第四十条 商业银行应建立授信工作尽职评价制度。根据本行小企业授信业务发展状况，配备相应的授信工作尽职评价人员。授信工作尽职评价人员应具备必要的授信专业知识。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第四十一条 商业银行须对授信业务流程的各个环节进行尽职评价，评价授信工作人员是否尽职，确定授信工作人员是否免责。评价可采取现场或非现场的方式进行。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授信工作尽职评价人员在评价中如发现重大违规行为，应立即报告。评价结束后应及时出具授信工作尽职评价报告。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第四十二条 商业银行对授信工作尽职评价人员发现的问题，应经过确认程序，责成相关授信部门或人员及时进行纠正。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第四十三条 商业银行应根据授信工作尽职评价人员的评价结果，对具有以下情节的授信工作人员依法、依规追究责任。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（一）进行虚假记载、误导性陈述或遗漏重大信息的；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（二）未对客户信息资料进行核实，对异常情况未作进一步调查的；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（三）隐瞒真实情况的，特别是隐瞒与借款人关系，或隐瞒借款人、担保人及其业主的不良信用记录等；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（四）未按照规定对抵（质）押物进行实地核查的；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（五）授信决策过程中超越权限、违反程序的；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（六）未按照规定实施授信后管理，致使授信风险未及时防范、控制的；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（七）发现授信客户发生重大变化和突发事件，未及时报告，未及时进行实地调查，未及时采取必要措施的；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（八）未将客户违约信息及时向银行业监管机构报告的；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（九）不配合授信工作尽职评价人员的工作或提供虚假信息，对授信尽职评价工作中发现的问题逾期不予纠正的；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（十）其他。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第四十四条 商业银行经检查监督和责任认定，有充分证据表明授信部门和授信工作人员按照有关法律、法规、规章和本指引以及商业银行相应的管理制度勤勉尽职地履行了职责，在授信出现风险时，应免除授信部门和相关授信工作人员的合规责任。</w:t>
      </w:r>
    </w:p>
    <w:p>
      <w:pPr>
        <w:spacing w:after="156" w:afterLines="50" w:line="360" w:lineRule="auto"/>
        <w:ind w:firstLine="482" w:firstLineChars="200"/>
        <w:outlineLvl w:val="0"/>
        <w:rPr>
          <w:rFonts w:cs="宋体" w:asciiTheme="majorEastAsia" w:hAnsiTheme="majorEastAsia" w:eastAsiaTheme="majorEastAsia"/>
          <w:b/>
          <w:bCs/>
        </w:rPr>
      </w:pPr>
      <w:bookmarkStart w:id="182" w:name="_Toc28755"/>
      <w:r>
        <w:rPr>
          <w:rFonts w:hint="eastAsia" w:cs="宋体" w:asciiTheme="majorEastAsia" w:hAnsiTheme="majorEastAsia" w:eastAsiaTheme="majorEastAsia"/>
          <w:b/>
          <w:bCs/>
        </w:rPr>
        <w:t>第七章附则</w:t>
      </w:r>
      <w:bookmarkEnd w:id="18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第四十五条 在中华人民共和国境内依法设立的商业银行开展的对小企业、个体工商户提供的授信工作适用本指引。其他银行业金融机构可参照执行。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第四十六条 商业银行应根据本指引制定实施细则，并报告中国银行业监督管理委员会或其派出机构。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第四十七条 本指引由中国银行业监督管理委员会负责解释。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第四十八条 本指引自发布之日起实施。</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附录</w:t>
      </w:r>
    </w:p>
    <w:p>
      <w:pPr>
        <w:spacing w:after="156" w:afterLines="50" w:line="360" w:lineRule="auto"/>
        <w:ind w:firstLine="482" w:firstLineChars="200"/>
        <w:rPr>
          <w:rFonts w:cs="宋体" w:asciiTheme="majorEastAsia" w:hAnsiTheme="majorEastAsia" w:eastAsiaTheme="majorEastAsia"/>
          <w:b/>
          <w:bCs/>
        </w:rPr>
      </w:pPr>
      <w:r>
        <w:rPr>
          <w:rFonts w:hint="eastAsia" w:cs="宋体" w:asciiTheme="majorEastAsia" w:hAnsiTheme="majorEastAsia" w:eastAsiaTheme="majorEastAsia"/>
          <w:b/>
          <w:bCs/>
        </w:rPr>
        <w:t>一、客户基本信息提示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（一）营业执照、组织机构代码证书（副本及复印件）和年检证明；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（二）贷款卡、银行开户情况；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（三）客户业主或主要股东个人身份证明及必要的信息；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（四）能用于编制近两年或当期资产负债表、损益表、现金流量表的基本信息或已编制好的财务报表；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（五）客户业主或主要股东报告期存借款及对外担保情况；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（六）税务部门年检合格的税务登记证明和近一年税务部门纳税证明复印件；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（七）合同或章程（原件及复印件）；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（八）董事会成员和主要经营管理负责人、财务负责人、技术负责人名单和签字样本等；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（九）若为有限责任客户、合资合伙客户或承包、租赁客户，要求提供董事会或发包人同意申请授信业务的决议、文件或具有同等法律效力的文件或证明；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（十）授信业务由授权委托人办理的，需提供客户法定代表人授权委托书（原件）；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（十一）其他必要的资料（如海关等部门出具的相关文件等）。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对于中长期授信，还须有各类合格、有效的相关批准文件，预计资金来源及使用情况、预计的资产负债情况、损益情况、项目建设进度及营运计划。</w:t>
      </w:r>
    </w:p>
    <w:p>
      <w:pPr>
        <w:spacing w:after="156" w:afterLines="50" w:line="360" w:lineRule="auto"/>
        <w:ind w:firstLine="482" w:firstLineChars="200"/>
        <w:rPr>
          <w:rFonts w:cs="宋体" w:asciiTheme="majorEastAsia" w:hAnsiTheme="majorEastAsia" w:eastAsiaTheme="majorEastAsia"/>
          <w:b/>
          <w:bCs/>
        </w:rPr>
      </w:pPr>
      <w:r>
        <w:rPr>
          <w:rFonts w:hint="eastAsia" w:cs="宋体" w:asciiTheme="majorEastAsia" w:hAnsiTheme="majorEastAsia" w:eastAsiaTheme="majorEastAsia"/>
          <w:b/>
          <w:bCs/>
        </w:rPr>
        <w:t>二、非财务信息提示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（一）客户关键人员如经营决策人员、主要执行人员和技术人员人员的个人职业经历、受教育背景、品行、健康状况等；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（二）客户业主或主要股东个人及其家庭其他投资、资产负债及或有负债情况；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（三）客户业主或主要股东家庭成员情况、家庭居住情况，婚姻状况，家庭大致日常收入、生活开支情况；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（四）客户业主或主要股东个人资信情况，信贷登记咨询系统和个人征信系统信息；客户在工商、税务、海关等部门的信用记录情况；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（五）客户近一年的水电费或其他公用事业收费清单；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（六）客户近一年的设备运转和开工率；主要生产设备的技术水平；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（七）客户成品仓库的入库、出库情况；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（八）客户的纳税清单；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（九）客户的资产、职工人数、收入情况；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（十）客户近一年的现金流情况；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（十一）客户主要供应商和销售商情况；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（十二）其他情况。</w:t>
      </w:r>
    </w:p>
    <w:p>
      <w:pPr>
        <w:spacing w:after="156" w:afterLines="50" w:line="360" w:lineRule="auto"/>
        <w:ind w:firstLine="482" w:firstLineChars="200"/>
        <w:rPr>
          <w:rFonts w:cs="宋体" w:asciiTheme="majorEastAsia" w:hAnsiTheme="majorEastAsia" w:eastAsiaTheme="majorEastAsia"/>
          <w:b/>
          <w:bCs/>
        </w:rPr>
      </w:pPr>
      <w:r>
        <w:rPr>
          <w:rFonts w:hint="eastAsia" w:cs="宋体" w:asciiTheme="majorEastAsia" w:hAnsiTheme="majorEastAsia" w:eastAsiaTheme="majorEastAsia"/>
          <w:b/>
          <w:bCs/>
        </w:rPr>
        <w:t>三、预警信号风险提示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（一）与客户品质有关的信号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1、客户关键人员如经营决策人员、主要执行人员和技术人员失踪或无法联系；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2、客户拒绝提供与信用审核有关的文件；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3、客户隐瞒重要信息或提供虚假信息，如隐瞒资产、债务或抵（质）押品真实情况；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4、客户无恰当理由突然改变会计政策或核算方法以及折旧计提方式、存货计价方式等；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5、客户无正当理由撤回或延迟提供与财务、业务、税收或抵押担保有关的信息或要求提供的其他文件；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6、客户的竞争者、供应商或其他客户对授信客户的负面评价，以及媒体的负面报道；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7、客户改变主要授信银行，向许多银行借款或不断在这些银行之间借新还旧；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8、客户频繁更换会计人员或主要管理人员；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9、客户卷入法律纠纷；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10、客户有破产和解或破产重整经历。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（二）小企业业主及主要股东个人的风险预警信息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1、有赌博、涉毒、嫖娼等违法或违反社会公德的行为；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2、持有外国护照或拥有外国永久居住权，或在国外开设分支机构；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3、被公众媒体披露的其他不端行为；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4、社会公众对客户法定代表人或经营者个人品质、行为反映不良；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5、客户法定代表人或经营者个人纳税额大幅度下降。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（三）客户在银行账户变化的信号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1、客户在银行的存款不断减少或出现异常变化；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2、对授信的长期占用；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3、缺乏财务计划，如总是突然向银行提出借款需求；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4、短期授信和长期授信错配；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5、经常接到供货商查询核实存款情况的电话；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6、突然出现大额资金向新交易商转移。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（四）客户管理层或关键技术人员变化的信号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1、关键管理人员或技术人员行为异常；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2、财务计划和报告质量下降；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3、主要业务频繁变化；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4、对竞争变化或其他外部条件变化缺少对策；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5、核心盈利业务削弱和偏离；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6、以往的合作伙伴不再与其合作；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7、不遵守授信承诺；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8、管理层能力不足或构成缺乏代表性；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9、缺乏技术工人、工资不能正常发放或有劳资争议。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（五）业务运营环境变化的信号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1、存货异常变化；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2、工厂维护或设备管理落后；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3、主要业务发生变动；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4、缺乏操作控制、程序、质量控制等；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5、主要产品线上的供货商或客户流失；</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6、水电费或其他公用事业收费的支出显著减少。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（六）财务状况变化信号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1、付息或还本拖延，经常申请延期支付，或申请实施新的授信，或不断透支；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2、申请实施授信支付其他银行的债务，授信抵押品情况恶化或再次用于抵押；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3、客户或其业主或其主要股东向其他企业或个人提供抵（质）押物担保或保证；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4、客户主要股东向其他人转让或拟转让股权；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5、客户财务比率指标恶化，包括：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（1）流动性比率如流动比率、速动比率等过低；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（2）杠杆比率如负债比率过高，经常用短期债务支付长期债务或作为长期资金使用；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（3）保障比率如利息保障倍数过低，现金流不足以支付利息；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（4）获利能力比率如资产收益率、资本收益率等大幅下降。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6、应收、应付项目发生异常变化；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7、支票收益人要求核实客户支票账户的余额；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8、定期存款余额减少；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9、授信需求增加，短期债务超常增加；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10、客户自身的配套资金不到位或不充足；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11、其他银行提高对同一客户的利率；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12、客户申请无抵（质）押授信产品或申请特殊还款方式；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13、银行无法控制抵押品和质押权；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14、客户无形资产占比过高或者无形资产估价过高；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15、客户或有负债大幅增加；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16、客户关联交易增多。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（七）客户履约能力变化信号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1、客户现金流出现问题；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2、客户产品或服务的市场需求下降；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3、客户还款记录不正常或未按合同还款；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4、客户欺诈，如在对方付款后故意不提供相应的产品或服务；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5、客户弄虚作假（如伪造或涂改各种批准文件或相关业务凭证）；</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6、客户主要业务或经营环境的重大变动。</w:t>
      </w:r>
    </w:p>
    <w:p>
      <w:pPr>
        <w:pStyle w:val="2"/>
        <w:numPr>
          <w:ilvl w:val="0"/>
          <w:numId w:val="0"/>
        </w:numPr>
        <w:ind w:left="922" w:leftChars="0" w:hanging="440" w:firstLineChars="0"/>
      </w:pPr>
      <w:bookmarkStart w:id="183" w:name="_Toc29562"/>
      <w:r>
        <w:rPr>
          <w:rFonts w:cs="宋体" w:asciiTheme="majorEastAsia" w:hAnsiTheme="majorEastAsia" w:eastAsiaTheme="majorEastAsia"/>
          <w:b/>
          <w:bCs/>
          <w:sz w:val="24"/>
          <w:szCs w:val="24"/>
          <w:lang w:val="en-US" w:eastAsia="zh-CN" w:bidi="ar-SA"/>
        </w:rPr>
        <w:t>29.</w:t>
      </w:r>
      <w:r>
        <w:rPr>
          <w:rFonts w:hint="eastAsia"/>
        </w:rPr>
        <w:t>《商业银行金融创新指引》</w:t>
      </w:r>
      <w:bookmarkEnd w:id="183"/>
    </w:p>
    <w:p>
      <w:pPr>
        <w:spacing w:after="156" w:afterLines="50" w:line="360" w:lineRule="auto"/>
        <w:ind w:firstLine="480" w:firstLineChars="200"/>
        <w:outlineLvl w:val="0"/>
        <w:rPr>
          <w:rFonts w:cs="宋体" w:asciiTheme="majorEastAsia" w:hAnsiTheme="majorEastAsia" w:eastAsiaTheme="majorEastAsia"/>
        </w:rPr>
      </w:pPr>
      <w:bookmarkStart w:id="184" w:name="_Toc24130"/>
      <w:r>
        <w:rPr>
          <w:rFonts w:hint="eastAsia" w:cs="宋体" w:asciiTheme="majorEastAsia" w:hAnsiTheme="majorEastAsia" w:eastAsiaTheme="majorEastAsia"/>
        </w:rPr>
        <w:t>发文机构：中国银行业监督管理委员会(已撤销)</w:t>
      </w:r>
      <w:bookmarkEnd w:id="184"/>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文号：银监发〔2006〕87号</w:t>
      </w:r>
    </w:p>
    <w:p>
      <w:pPr>
        <w:spacing w:after="156" w:afterLines="50" w:line="360" w:lineRule="auto"/>
        <w:ind w:firstLine="482" w:firstLineChars="200"/>
        <w:outlineLvl w:val="0"/>
        <w:rPr>
          <w:rFonts w:cs="宋体" w:asciiTheme="majorEastAsia" w:hAnsiTheme="majorEastAsia" w:eastAsiaTheme="majorEastAsia"/>
          <w:b/>
          <w:bCs/>
        </w:rPr>
      </w:pPr>
      <w:bookmarkStart w:id="185" w:name="_Toc3938"/>
      <w:r>
        <w:rPr>
          <w:rFonts w:hint="eastAsia" w:cs="宋体" w:asciiTheme="majorEastAsia" w:hAnsiTheme="majorEastAsia" w:eastAsiaTheme="majorEastAsia"/>
          <w:b/>
          <w:bCs/>
        </w:rPr>
        <w:t>第一章总则</w:t>
      </w:r>
      <w:bookmarkEnd w:id="18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为鼓励商业银行加快金融创新，规范金融创新活动，促进银行业金融创新持续健康发展，依据《中华人民共和国银行业监督管理法》、《中华人民共和国商业银行法》等有关法律法规，制定本指引。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在中华人民共和国境内设立的中资商业银行、外商独资银行和中外合资银行适用本指引。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在中华人民共和国境内设立的政策性银行、农村合作银行、城市信用社、农村信用社、外国银行分行开展金融创新，参照本指引执行。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在中华人民共和国境内设立的金融资产管理公司、信托投资公司、金融租赁公司、企业集团财务公司、汽车金融公司和货币经纪公司等银监会监管的非银行金融机构开展金融创新，参照本指引执行。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金融创新是指商业银行为适应经济发展的要求，通过引入新技术、采用新方法、开辟新市场、构建新组织，在战略决策、制度安排、机构设置、人员准备、管理模式、业务流程和金融产品等方面开展的各项新活动，最终体现为银行风险管理能力的不断提高，以及为客户提供的服务产品和服务方式的创造与更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金融创新是商业银行以客户为中心，以市场为导向，不断提高自主创新能力和风险管理能力，有效提升核心竞争力，更好地满足金融消费者和投资者日益增长的需求，实现可持续发展战略的重要组成部分。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商业银行应充分认识到金融创新与风险管理密不可分，风险管理是金融创新的内在要求，商业银行应采取有效措施及时识别、计量、监测、控制金融创新带来的新风险。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商业银行应确保具有开展金融创新活动所必需的人员、资金、信息技术、内部控制和风险管理等各种资源。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中国银行业监督管理委员会（以下简称银监会）以促进金融稳定和发展金融创新作为良好监管的重要标准，坚持鼓励和规范并重、培育和防险并举的监管原则，依照法律法规的有关规定和本指引对商业银行金融创新活动进行监督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银监会将积极创造有利于金融创新的制度和法律环境，及时修订不适应金融创新的有关规定，在充分考虑市场变化和公众需求的基础上，对监管规章和政策定期跟踪评估，及时更新，不断提高监管有效性。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银监会积极推动适宜金融创新的市场环境建设，促进形成金融创新活动的公平交易规则，营造公平竞争的市场环境，建立良好的金融竞争秩序。</w:t>
      </w:r>
    </w:p>
    <w:p>
      <w:pPr>
        <w:spacing w:after="156" w:afterLines="50" w:line="360" w:lineRule="auto"/>
        <w:ind w:firstLine="482" w:firstLineChars="200"/>
        <w:outlineLvl w:val="0"/>
        <w:rPr>
          <w:rFonts w:cs="宋体" w:asciiTheme="majorEastAsia" w:hAnsiTheme="majorEastAsia" w:eastAsiaTheme="majorEastAsia"/>
          <w:b/>
          <w:bCs/>
        </w:rPr>
      </w:pPr>
      <w:bookmarkStart w:id="186" w:name="_Toc32012"/>
      <w:r>
        <w:rPr>
          <w:rFonts w:hint="eastAsia" w:cs="宋体" w:asciiTheme="majorEastAsia" w:hAnsiTheme="majorEastAsia" w:eastAsiaTheme="majorEastAsia"/>
          <w:b/>
          <w:bCs/>
        </w:rPr>
        <w:t>第二章基本原则</w:t>
      </w:r>
      <w:bookmarkEnd w:id="18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商业银行开展金融创新活动，应坚持合法合规的原则，遵守法律、行政法规和规章的规定。商业银行不得以金融创新为名，违反法律规定或变相逃避监管。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商业银行开展金融创新活动，应坚持公平竞争原则，不得以排挤竞争对手为目的，进行低价倾销、恶性竞争或其他不正当竞争。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商业银行开展金融创新活动，应充分尊重他人的知识产权，不得侵犯他人的知识产权和商业秘密；商业银行应制定有效的知识产权保护战略，保护自主创新的金融产品和服务。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商业银行开展金融创新活动，应坚持成本可算、风险可控、信息充分披露的原则。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商业银行开展金融创新活动，应做到“认识你的业务”。董事会和高级管理层应通过有效手段，确保悉知本行的金融创新业务、运行情况以及市场状况。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商业银行开展金融创新活动，应做到“认识你的风险”。董事会和高级管理层应准确认识金融创新活动的风险，定期评估、审批金融创新活动的政策和各类新产品的风险限额，使金融创新活动限制在可控的风险范围之内。</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商业银行开展金融创新活动，应做到“认识你的客户”。应明确目标客户群，充分了解客户的风险偏好、风险认知能力和承受能力，根据业务需要进行客户评估，针对不同目标客户群，提供不同的金融产品和服务。商业银行不得向客户提供与其真实需要和风险承受能力不相符合的产品和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商业银行开展金融创新活动，应做到“认识你的交易对手”。在开展涉及投资和交易业务时，应认真分析和研究交易对手的信用风险、市场风险和法律风险，做好交易对手风险的管理，特别是在市场环境发生重大变化时，要密切跟踪交易对手的风险状况，采取有效的应对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商业银行开展金融创新活动，应遵守职业道德标准和专业操守，完整履行尽职义务，充分维护金融消费者和投资者利益。</w:t>
      </w:r>
    </w:p>
    <w:p>
      <w:pPr>
        <w:spacing w:after="156" w:afterLines="50" w:line="360" w:lineRule="auto"/>
        <w:ind w:firstLine="482" w:firstLineChars="200"/>
        <w:outlineLvl w:val="0"/>
        <w:rPr>
          <w:rFonts w:cs="宋体" w:asciiTheme="majorEastAsia" w:hAnsiTheme="majorEastAsia" w:eastAsiaTheme="majorEastAsia"/>
          <w:b/>
          <w:bCs/>
        </w:rPr>
      </w:pPr>
      <w:bookmarkStart w:id="187" w:name="_Toc28825"/>
      <w:r>
        <w:rPr>
          <w:rFonts w:hint="eastAsia" w:cs="宋体" w:asciiTheme="majorEastAsia" w:hAnsiTheme="majorEastAsia" w:eastAsiaTheme="majorEastAsia"/>
          <w:b/>
          <w:bCs/>
        </w:rPr>
        <w:t>第三章运行机制</w:t>
      </w:r>
      <w:bookmarkEnd w:id="18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商业银行董事会负责制定金融创新发展战略及与之相适应的风险管理政策，并监督战略与政策的执行情况。董事会要确保高级管理层有足够的资金和合格的专业人才，以有效实施战略并管理创新过程中带来的风险。董事会要确保金融创新的发展战略和风险管理政策与全行整体战略和风险管理政策相一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高级管理层负责执行董事会制定的金融创新发展战略和风险管理政策。高级管理层要建立能够有效管理创新活动的风险管理和内部控制系统、文件档案和审计流程管理系统，以及培训和信息反馈制度。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商业银行应优化内部组织结构和业务流程，形成前台营销服务职能完善、中台风险控制严密、后台保障支持有力的业务运行架构，并可结合本行实际情况，减少管理层级，逐步改造现有的“部门银行”，建立适应金融创新的“流程银行”，实现前、中、后台的相互分离与有效的协调配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商业银行应制定和完善金融创新产品与服务的内部管理程序，至少应包括需求发起、立项、设计、开发、测试、风险评估、审批、投产、培训、销售、后评价和定期更新等各个阶段；应该进行详细的市场需求分析、目标客户分析和成本收益分析，进行科学的风险评估和风险定价，准确计量经风险调整后的收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商业银行推出金融创新产品和服务，应做到制度先行，制定与每一类业务相适应的操作规程、内部管理制度和客户风险提示内容，条件成熟的应制定产品手册。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 商业银行应加大对金融创新的信息科学技术投入，建立有效的创新业务技术支持系统和管理信息系统，保证数据信息的完整性、安全性，以及经营计划和业务流程的持续开展，提升金融创新的技术含量。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 商业银行应结合本行实际，建立和完善以客户为中心的客户关系管理系统，有效整合客户信息，通过数据分析与挖掘，为客户提供更多创新产品和服务，不断提升客户服务水平，提高客户满意度。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 商业银行应逐步建立适应金融创新活动的绩效考核评价机制，形成促进金融创新的有效激励机制和企业文化氛围。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 商业银行应逐步制定适应金融创新活动的薪酬制度、培训计划和人力资源战略，不断吸引经验丰富的专业人才，提高金融创新专业能力。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 商业银行应组织多种形式的金融创新培训活动，确保员工熟悉创新产品和服务的特性及业务操作流程，建立健全相关业务从业人员的资格认定与考核制度，保证从事创新业务的员工具备必要的专业资格和从业经验。</w:t>
      </w:r>
    </w:p>
    <w:p>
      <w:pPr>
        <w:spacing w:after="156" w:afterLines="50" w:line="360" w:lineRule="auto"/>
        <w:ind w:firstLine="482" w:firstLineChars="200"/>
        <w:outlineLvl w:val="0"/>
        <w:rPr>
          <w:rFonts w:cs="宋体" w:asciiTheme="majorEastAsia" w:hAnsiTheme="majorEastAsia" w:eastAsiaTheme="majorEastAsia"/>
          <w:b/>
          <w:bCs/>
        </w:rPr>
      </w:pPr>
      <w:bookmarkStart w:id="188" w:name="_Toc24897"/>
      <w:r>
        <w:rPr>
          <w:rFonts w:hint="eastAsia" w:cs="宋体" w:asciiTheme="majorEastAsia" w:hAnsiTheme="majorEastAsia" w:eastAsiaTheme="majorEastAsia"/>
          <w:b/>
          <w:bCs/>
        </w:rPr>
        <w:t>第四章客户利益保护</w:t>
      </w:r>
      <w:bookmarkEnd w:id="188"/>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 商业银行开展金融创新活动，应遵守行业行为准则和银行员工操守守则，向客户准确、公平、没有误导地进行信息披露，充分揭示与创新产品和服务有关的权利、义务和风险。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 商业银行应遵守法律法规的要求及与客户的约定，履行必要的保密义务。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第三十条 商业银行开展金融创新活动，应为客户提供专业、客观和公平的意见，要按相应法律要求，特别重视并忠实履行对客户的义务和责任。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第三十一条 商业银行应能识别并妥善处理好金融创新引发的各类利益冲突，公平地处理银行与客户之间、银行与第三方服务提供者之间的利益冲突。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第三十二条 商业银行应严格界定和区分银行资产和客户资产，进行有效的风险隔离管理，对客户的资产进行充分保护。</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第三十三条 商业银行应建立适合创新服务需要的客户资料档案，做好客户对于创新产品和服务的适合度评估，引导客户理性投资与消费。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第三十四条 商业银行开展金融创新活动，应建立有效受理客户投诉以及建议的渠道，及时高效负责地处理客户投诉，定期汇总分析客户投诉情况，向有关人员和部门定期报告客户投诉及处理情况，研究和处理客户对金融创新的潜在需求和改进建议，不断提高金融创新的服务质量和服务水平。</w:t>
      </w:r>
    </w:p>
    <w:p>
      <w:pPr>
        <w:spacing w:after="156" w:afterLines="50" w:line="360" w:lineRule="auto"/>
        <w:ind w:firstLine="482" w:firstLineChars="200"/>
        <w:outlineLvl w:val="0"/>
        <w:rPr>
          <w:rFonts w:cs="宋体" w:asciiTheme="majorEastAsia" w:hAnsiTheme="majorEastAsia" w:eastAsiaTheme="majorEastAsia"/>
          <w:b/>
          <w:bCs/>
        </w:rPr>
      </w:pPr>
      <w:bookmarkStart w:id="189" w:name="_Toc27280"/>
      <w:r>
        <w:rPr>
          <w:rFonts w:hint="eastAsia" w:cs="宋体" w:asciiTheme="majorEastAsia" w:hAnsiTheme="majorEastAsia" w:eastAsiaTheme="majorEastAsia"/>
          <w:b/>
          <w:bCs/>
        </w:rPr>
        <w:t>第五章风险管理</w:t>
      </w:r>
      <w:bookmarkEnd w:id="189"/>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第三十五条 商业银行董事会和高级管理层应将金融创新活动的风险管理纳入全行统一的风险管理体系。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董事会下设的风险管理委员会应将金融创新活动的风险和其他传统业务的风险进行统一管理，制定恰当的风险管理程序和风险控制措施，清楚地界定各业务条线和相关部门的具体责任。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第三十六条 商业银行应制定完善的风险管理政策、程序和风险限额，确保各类金融创新活动能与本行的管理能力和专业水平相适应。</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第三十七条 商业银行应通过有效的管理信息系统，建立健全风险管理架构，充分识别、计量、监测和控制各类金融创新活动带来的风险。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第三十八条 商业银行应建立与各类金融创新业务性质及规模相适应的完善的内部控制制度，通过独立的内部和外部审计检查内控制度的建立与执行情况。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第三十九条 商业银行应对计划开展的金融创新活动进行严格的合规性审查，准确界定其所包含的各种法律关系，明确可能涉及的法律、政策，研究制定相应的解决办法，切实防范合规风险。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第四十条 商业银行应结合政策调整和市场环境变化，针对金融创新活动的特点，定期对关键模型、假设条件和模型参数进行验证和修正，制定风险预警和风险处置预案。董事会与高级管理层应负责制定业务应急性计划和连续性计划。</w:t>
      </w:r>
    </w:p>
    <w:p>
      <w:pPr>
        <w:spacing w:after="156" w:afterLines="50" w:line="360" w:lineRule="auto"/>
        <w:ind w:firstLine="482" w:firstLineChars="200"/>
        <w:outlineLvl w:val="0"/>
        <w:rPr>
          <w:rFonts w:cs="宋体" w:asciiTheme="majorEastAsia" w:hAnsiTheme="majorEastAsia" w:eastAsiaTheme="majorEastAsia"/>
          <w:b/>
          <w:bCs/>
        </w:rPr>
      </w:pPr>
      <w:bookmarkStart w:id="190" w:name="_Toc17725"/>
      <w:r>
        <w:rPr>
          <w:rFonts w:hint="eastAsia" w:cs="宋体" w:asciiTheme="majorEastAsia" w:hAnsiTheme="majorEastAsia" w:eastAsiaTheme="majorEastAsia"/>
          <w:b/>
          <w:bCs/>
        </w:rPr>
        <w:t>第六章监督管理</w:t>
      </w:r>
      <w:bookmarkEnd w:id="19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第四十一条 银监会鼓励符合以下条件的商业银行开展金融创新：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（一）资本充足率达标；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（二）公司治理结构良好；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（三）内控制度严密；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（四）风险监管核心指标符合监管部门的审慎要求；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（五）近三年来没有发生重大违法违规行为。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第四十二条 针对金融创新活动，银监会将简化审批程序，转变监管方式，制定各类新业务的审慎监管标准和监管操作规程，强化持续性监管，更加注重对创新活动的风险管理、内部审计、定价机制以及信息披露等环节的全程风险控制，及时进行风险提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第四十三条 银监会鼓励商业银行与银监会进行事前的专业沟通，就关注的风险点和风险控制措施交流意见，提高审批效率。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第四十四条 银监会鼓励商业银行在金融创新活动中，以更加开放和合作的方式建立监管和被监管部门的关系，及时负责任地向监管机构报告风险事件或市场环境的重大变化。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第四十五条 银监会与商业银行、银行业协会有义务共同加强对社会公众金融知识的宣传和教育，增进公众对金融创新的了解和对买者自负原则的认识，增强公众对现代金融知识的理解，不断提高公众的风险防范意识和风险承受能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第四十六条 商业银行违反本指引规定，银监会将根据有关法律法规予以处罚，并采取其他相应的监管措施。</w:t>
      </w:r>
    </w:p>
    <w:p>
      <w:pPr>
        <w:spacing w:after="156" w:afterLines="50" w:line="360" w:lineRule="auto"/>
        <w:ind w:firstLine="482" w:firstLineChars="200"/>
        <w:outlineLvl w:val="0"/>
        <w:rPr>
          <w:rFonts w:cs="宋体" w:asciiTheme="majorEastAsia" w:hAnsiTheme="majorEastAsia" w:eastAsiaTheme="majorEastAsia"/>
          <w:b/>
          <w:bCs/>
        </w:rPr>
      </w:pPr>
      <w:bookmarkStart w:id="191" w:name="_Toc30745"/>
      <w:r>
        <w:rPr>
          <w:rFonts w:hint="eastAsia" w:cs="宋体" w:asciiTheme="majorEastAsia" w:hAnsiTheme="majorEastAsia" w:eastAsiaTheme="majorEastAsia"/>
          <w:b/>
          <w:bCs/>
        </w:rPr>
        <w:t>第七章附则</w:t>
      </w:r>
      <w:bookmarkEnd w:id="191"/>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第四十七条 本指引由银监会负责解释。</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第四十八条 本指引自2006年12月11日起正式施行。</w:t>
      </w:r>
    </w:p>
    <w:p>
      <w:pPr>
        <w:pStyle w:val="2"/>
        <w:numPr>
          <w:ilvl w:val="0"/>
          <w:numId w:val="0"/>
        </w:numPr>
        <w:ind w:left="922" w:leftChars="0" w:hanging="440" w:firstLineChars="0"/>
      </w:pPr>
      <w:bookmarkStart w:id="192" w:name="_Toc25292"/>
      <w:r>
        <w:rPr>
          <w:rFonts w:cs="宋体" w:asciiTheme="majorEastAsia" w:hAnsiTheme="majorEastAsia" w:eastAsiaTheme="majorEastAsia"/>
          <w:b/>
          <w:bCs/>
          <w:sz w:val="24"/>
          <w:szCs w:val="24"/>
          <w:lang w:val="en-US" w:eastAsia="zh-CN" w:bidi="ar-SA"/>
        </w:rPr>
        <w:t>30.</w:t>
      </w:r>
      <w:r>
        <w:rPr>
          <w:rFonts w:hint="eastAsia"/>
        </w:rPr>
        <w:t>《中国银监会办公厅关于防范和控制高耗能高污染行业贷款风险的通知》</w:t>
      </w:r>
      <w:bookmarkEnd w:id="19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文号：银监办发〔2007〕161号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各银监局、各政策性银行、国有商业银行、股份制商业银行、金融资产管理公司，邮政储蓄银行，各省级农村信用联社，银监会直接监管的信托公司、企业集团财务公司、金融租赁公司：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今年以来，中国银监会认真贯彻科学发展观和国家宏观调控政策，针对经济运行中存在的高耗能、高污染行业过快增长等问题，多次下达有关通知，要求银行业金融机构高度关注高耗能、高污染行业的增长情况，有效防范和控制高耗能、高污染行业的信贷风险。通过各方面努力，目前已经取得了初步成效，但当前节能减排的形势依然严峻。最近，国务院颁布了《节能减排综合性工作方案》，对节能减排工作做了全面部署。为了进一步加强高耗能、高污染行业贷款的贷前调查、贷中审查和贷后检查，严把“两高”贷款闸门，现就有关工作提出如下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一、严格控制信贷总量，积极调整信贷结构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行业金融机构要把思想统一到落实科学发展观，统一到国务院对当前经济金融形势的判断上来，树立大局意识、责任意识、风险意识，按照国家宏观调控要求，科学把握信贷投放力度节奏，着力优化信贷结构。积极配合主管部门和地方政府控制高耗能、高污染行业的过快增长，控制高耗能、高污染行业的贷款投放，调整贷款结构，认真执行高耗能、高污染行业新开工项目的产业政策和市场准入标准，对项目审批（备案）、用地预审、环境评价、节能评估、劳动安全、城市规划等方面不符合国家规定的项目，或对“区域限批”地区的项目以及列入加工贸易禁止类目录的企业，银行业金融机构不予贷款。已经贷款的，要及时清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二、加强对高耗能、高污染重点企业贷款的持续监控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行业金融机构要积极主动与节能减排主管部门、地方政府、行业协会加强联系和沟通，及时了解国家节能、环保政策和标准的修订及变化情况，参照国家节能、环保最新政策和标准，以及不断更新的高耗能、高污染行业情况，进行持续跟踪和监控，对那些能耗、排污不达标，或违反国家有关规定的贷款企业，要坚决收回贷款；对那些能耗、排污虽然达标但不稳定或节能减排目标责任不明确、管理措施不到位的贷款企业，要调整贷款期限，压缩贷款规模，提高专项准备，从严评定贷款等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三、压缩和回收落后生产能力企业的贷款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行业金融机构要加强对电力、钢铁、建材、电解铝、铁合金、焦炭、化工、煤炭、造纸、食品等行业中的落后生产能力的分析和研究，对发改委已列入落后生产能力名单的企业或项目贷款，要采取有效措施，及时收回贷款。对落后生产能力的企业或项目贷款未能调整或压缩的部分，银行业金融机构要本着审慎经营原则，提高专项准备，降低贷款评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四、进一步完善监管政策，加大监管力度，指导和督促银行业金融机构做好节能减排工作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是实行有差别的监管激励与约束政策。试行把节能减排信贷及相关工作做为银行业金融机构评级的重要内容，将评价结果与被监管银行业金融机构的分支机构准入、高管人员任职、业务发展相挂钩，落实到位的，予以鼓励。在具体操作上，应积极配合主管部门落实政府节能减排工作责任制和问责制，对未能完成节能减排工作目标的地区或项目“区域限批”地区，对该地区的贷款结构进行认真调整，压缩相关风险敞口。对完成节能减排工作目标的地区，在审慎原则指导下鼓励增加该地区的贷款，同时，按需求设立新的分支机构或设立新的法人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是实行有差别、有重点的现场检查。对高耗能、高污染行业贷款比例大，贷款余额不断增加的银行业金融机构要适时安排现场专项检查，并根据检查结果督促被检查机构进行整改。在目前已安排的常规和例行现场检查中，要重点关注与节能减排有关的合规检查和贷款投向检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是加强相关培训，促进科学监管能力建设。举办各种形式的培训班、研讨会，邀请节能减排、授信管理、合规管理等方面的专家学者，对监管人员和银行业金融机构的高层人员进行培训。同时，银行业金融机构也要根据自身业务特点开展培训。</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是进一步加强与主管部门的协调。进一步加强与国家发展改革委、国家环保局、国家统计局等节能减排综合主管单位的联系和协调，进一步完善和细化节能减排的行业目录、节能减排准入标准、重点项目和重点企业名录，提供行业节能减排的国际先进水平、我国先进水平等重要标杆，强化可操作性，为银行业做好节能减排工作提供科学指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是加强节能减排信息服务。充分利用银监会银行业信息监管系统，向银行业金融机构提供节能减排信息服务。及时提供有关节能减排的政策信息，包括产业政策、财税政策、市场准入、环保评估、资源利用、土地和城市规划、劳动安全等方面的政策信息。及时提供有关节能减排重点工程、重点项目、重点企业、重点地区的信息。积极宣传国内外银行业金融机构在防范环境风险和政策风险的良好做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特此通知。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中国银行业监督管理委员会</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二00七年七月十五日</w:t>
      </w:r>
    </w:p>
    <w:p>
      <w:pPr>
        <w:pStyle w:val="2"/>
        <w:numPr>
          <w:ilvl w:val="0"/>
          <w:numId w:val="0"/>
        </w:numPr>
        <w:ind w:left="922" w:leftChars="0" w:hanging="440" w:firstLineChars="0"/>
      </w:pPr>
      <w:bookmarkStart w:id="193" w:name="_Toc29960"/>
      <w:r>
        <w:rPr>
          <w:rFonts w:cs="宋体" w:asciiTheme="majorEastAsia" w:hAnsiTheme="majorEastAsia" w:eastAsiaTheme="majorEastAsia"/>
          <w:b/>
          <w:bCs/>
          <w:sz w:val="24"/>
          <w:szCs w:val="24"/>
          <w:lang w:val="en-US" w:eastAsia="zh-CN" w:bidi="ar-SA"/>
        </w:rPr>
        <w:t>31.</w:t>
      </w:r>
      <w:r>
        <w:rPr>
          <w:rFonts w:hint="eastAsia"/>
        </w:rPr>
        <w:t>《中国银监会办公厅关于进一步规范企业集团财务公司委托业务的通知》</w:t>
      </w:r>
      <w:bookmarkEnd w:id="19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文号：银监办通〔2007〕186号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各银监局，银监会直接监管的企业集团财务公司：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为进一步规范企业集团财务公司（以下简称财务公司）的委托业务，促进财务公司健康发展，现就财务公司从事委托业务的有关问题通知如下：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一、财务公司应按照委托业务的性质，严格履行受托人职责，确保委托业务的真实性，财务公司不承担委托业务风险。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二、财务公司应在所属企业集团成员单位之间办理委托贷款及委托投资业务。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三、财务公司应对委托资金来源进行尽职调查，严防委托人将信贷资金或拆借资金作为委托资金来源。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四、财务公司应对委托贷款或委托投资的对象、用途进行全面审查，防止因委托贷款或投资投向手续不全、不符合国家政策而带来法律风险和政策风险。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五、财务公司应遵守会计制度规定和委托合同约定，将委托业务与自营业务实行分账管理，不得混合操作，严禁转移经营风险。财务公司应对不同委托人的委托资金开立不同专户，并进行分别管理。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六、财务公司应重视委托业务的风险管理，及时完善委托业务制度，细化委托业务操作流程，建立健全覆盖委托业务全过程的风险防范机制。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七、财务公司应有相对独立的内部审计或稽核部门负责对委托业务进行监督、检查、评价和报告。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八、财务公司违反委托业务有关规定的，银监会及其派出机构将根据《中华人民共和国银行业监督管理法》等法律法规，采取责令改正、罚款、暂停相关业务等监管措施。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各银监局应将本通知转发辖内财务公司，并督促财务公司严格按照本通知要求自查自纠。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中国银行业监督管理委员会办公厅</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二００七年七月二十五日</w:t>
      </w:r>
    </w:p>
    <w:p>
      <w:pPr>
        <w:pStyle w:val="2"/>
        <w:numPr>
          <w:ilvl w:val="0"/>
          <w:numId w:val="0"/>
        </w:numPr>
        <w:ind w:left="922" w:leftChars="0" w:hanging="440" w:firstLineChars="0"/>
      </w:pPr>
      <w:bookmarkStart w:id="194" w:name="_Toc29385"/>
      <w:r>
        <w:rPr>
          <w:rFonts w:cs="宋体" w:asciiTheme="majorEastAsia" w:hAnsiTheme="majorEastAsia" w:eastAsiaTheme="majorEastAsia"/>
          <w:b/>
          <w:bCs/>
          <w:sz w:val="24"/>
          <w:szCs w:val="24"/>
          <w:lang w:val="en-US" w:eastAsia="zh-CN" w:bidi="ar-SA"/>
        </w:rPr>
        <w:t>32.</w:t>
      </w:r>
      <w:r>
        <w:rPr>
          <w:rFonts w:hint="eastAsia"/>
        </w:rPr>
        <w:t>《节能减排授信工作指导意见》</w:t>
      </w:r>
      <w:bookmarkEnd w:id="194"/>
    </w:p>
    <w:p>
      <w:pPr>
        <w:spacing w:after="156" w:afterLines="50" w:line="360" w:lineRule="auto"/>
        <w:ind w:firstLine="480" w:firstLineChars="200"/>
        <w:outlineLvl w:val="0"/>
        <w:rPr>
          <w:rFonts w:cs="宋体" w:asciiTheme="majorEastAsia" w:hAnsiTheme="majorEastAsia" w:eastAsiaTheme="majorEastAsia"/>
        </w:rPr>
      </w:pPr>
      <w:bookmarkStart w:id="195" w:name="_Toc6617"/>
      <w:r>
        <w:rPr>
          <w:rFonts w:hint="eastAsia" w:cs="宋体" w:asciiTheme="majorEastAsia" w:hAnsiTheme="majorEastAsia" w:eastAsiaTheme="majorEastAsia"/>
        </w:rPr>
        <w:t>发文机构：中国银行业监督管理委员会（已撤销）</w:t>
      </w:r>
      <w:bookmarkEnd w:id="195"/>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文号：银监发[2007]83号</w:t>
      </w:r>
    </w:p>
    <w:p>
      <w:pPr>
        <w:spacing w:after="156" w:afterLines="50" w:line="360" w:lineRule="auto"/>
        <w:ind w:firstLine="482" w:firstLineChars="200"/>
        <w:outlineLvl w:val="0"/>
        <w:rPr>
          <w:rFonts w:cs="宋体" w:asciiTheme="majorEastAsia" w:hAnsiTheme="majorEastAsia" w:eastAsiaTheme="majorEastAsia"/>
          <w:b/>
          <w:bCs/>
        </w:rPr>
      </w:pPr>
      <w:bookmarkStart w:id="196" w:name="_Toc19099"/>
      <w:r>
        <w:rPr>
          <w:rFonts w:hint="eastAsia" w:cs="宋体" w:asciiTheme="majorEastAsia" w:hAnsiTheme="majorEastAsia" w:eastAsiaTheme="majorEastAsia"/>
          <w:b/>
          <w:bCs/>
        </w:rPr>
        <w:t>第一章总体要求</w:t>
      </w:r>
      <w:bookmarkEnd w:id="19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银行业金融机构要认真贯彻《国务院关于印发节能减排综合性工作方案的通知》（国发[2007]15号）和《国务院关于落实科学发展观加强环境保护的决定》（国发[2005]39号）的精神，从落实科学发展观、促进经济社会环境全面可持续发展、确保银行业安全稳健运行的战略高度出发，充分认识节能减排的重大意义，切实做好与节能减排有关的授信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银行业金融机构要将促进全社会节能减排作为本机构的重要使命和履行社会责任的具体体现，强化本机构全体员工的节能减排意识，全面掌握节能减排政策法规和标准，大力增强授信工作的科学性和预见性。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银行业金融机构要从战略规划、内部控制、风险管理、业务发展着手，防范高耗能、高污染带来的各类风险，加强制度建设和执行力建设：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（一）根据本机构的业务特点、风险特征和组织架构，制定应对高耗能、高污染引起的各类风险的工作方案。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（二）根据本机构客户所在的主要行业及其特点，制定高耗能、高污染行业的授信政策和操作细则。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（三）根据本机构内部控制和风险管理的需要，制定节能减排授信程序和规范。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（四）根据授信审批人员的专业能力与经验等，适当集中与耗能、污染风险有关的企业和项目授信的审批权限。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（五）董事会应审核和批准相关方案、政策、程序和规范，并安排适当资源，指定熟悉了解高耗能、高污染风险的高级管理人员负责相关制度的落实和执行。</w:t>
      </w:r>
    </w:p>
    <w:p>
      <w:pPr>
        <w:spacing w:after="156" w:afterLines="50" w:line="360" w:lineRule="auto"/>
        <w:ind w:firstLine="482" w:firstLineChars="200"/>
        <w:outlineLvl w:val="0"/>
        <w:rPr>
          <w:rFonts w:cs="宋体" w:asciiTheme="majorEastAsia" w:hAnsiTheme="majorEastAsia" w:eastAsiaTheme="majorEastAsia"/>
          <w:b/>
          <w:bCs/>
        </w:rPr>
      </w:pPr>
      <w:bookmarkStart w:id="197" w:name="_Toc29107"/>
      <w:r>
        <w:rPr>
          <w:rFonts w:hint="eastAsia" w:cs="宋体" w:asciiTheme="majorEastAsia" w:hAnsiTheme="majorEastAsia" w:eastAsiaTheme="majorEastAsia"/>
          <w:b/>
          <w:bCs/>
        </w:rPr>
        <w:t>第二章授信政策</w:t>
      </w:r>
      <w:bookmarkEnd w:id="19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银行业金融机构应依据国家产业政策，对列入国家产业政策限制和淘汰类的新建项目，不得提供授信支持；对属于限制类的现有生产能力，且国家允许企业在一定期限内采取措施升级的，可按信贷原则继续给予授信支持；对于淘汰类项目，原则上应停止各类形式的新增授信支持，并采取措施收回已发放的授信。银行业机构不得绕开项目授信的程序，以流动资金贷款、承兑汇票或其他各种表内外方式向建设项目提供融资和担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银行业金融机构应密切关注授信企业节能减排目标的完成情况和环保合规情况，加强与节能减排主管部门的沟通，对其公布和认定的耗能、污染问题突出且整改不力的授信企业，除了与改善节能减排有关的授信外，不得增加新的授信，原有的授信要逐步压缩和收回。</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银行业金融机构要加强重点行业落后生产能力的分析，对国家和省级发展改革委或其他有关部门已列入落后生产能力名单的企业和项目贷款，要采取合理有效措施，及时调整、压缩和收回与落后产能有关的授信。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银行业金融机构要及时跟踪国家确定的节能重点工程、再生能源项目、水污染治理工程、二氧化硫治理、循环经济试点、水资源节约利用、资源综合利用、废弃物资源化利用、清洁生产、节能减排技术研发和产业化示范及推广、节能技术服务体系、环保产业等重点项目，综合考虑信贷风险评估、成本补偿机制和政府扶持政策等因素，有重点地给予信贷需求的满足，并做好相应的投资咨询、资金清算、现金管理等金融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银行业金融机构对得到国家和地方财税等政策性支持的企业和项目，对节能减排效果显著并得到国家主管部门表彰、推荐、鼓励的企业和项目，在同等条件下，可优先给予授信支持。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银行业金融机构应实施有差别的地区信贷政策，参照国家有关部门公布的各省、自治区、直辖市节能减排指标完成情况，在同等条件下，对节能减排显著地区的企业和项目，可优先给予授信支持；对被国家环保部门列入“区域限批”或“流域限批”名单的地区，要从严控制授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银行业金融机构要充分利用国家实施节能减排战略带来的业务发展机遇，加强金融创新，积极开发与节能减排有关的创新金融产品。</w:t>
      </w:r>
    </w:p>
    <w:p>
      <w:pPr>
        <w:spacing w:after="156" w:afterLines="50" w:line="360" w:lineRule="auto"/>
        <w:ind w:firstLine="482" w:firstLineChars="200"/>
        <w:outlineLvl w:val="0"/>
        <w:rPr>
          <w:rFonts w:cs="宋体" w:asciiTheme="majorEastAsia" w:hAnsiTheme="majorEastAsia" w:eastAsiaTheme="majorEastAsia"/>
          <w:b/>
          <w:bCs/>
        </w:rPr>
      </w:pPr>
      <w:bookmarkStart w:id="198" w:name="_Toc3780"/>
      <w:r>
        <w:rPr>
          <w:rFonts w:hint="eastAsia" w:cs="宋体" w:asciiTheme="majorEastAsia" w:hAnsiTheme="majorEastAsia" w:eastAsiaTheme="majorEastAsia"/>
          <w:b/>
          <w:bCs/>
        </w:rPr>
        <w:t>第三章授信管理</w:t>
      </w:r>
      <w:bookmarkEnd w:id="198"/>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银行业金融机构应本着“了解你的客户”、“了解你的客户的业务”的原则，通过现场调查和向节能减排主管部门、行业协会、征信部门咨询以及其他适当方式，深入了解授信企业和项目的节能减排目标完成情况和环保合规情况，仔细分析授信企业和项目可能存在的耗能、污染问题以及可能引发的各类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银行业金融机构应对项目开工建设的“六项必要条件”（必须符合产业政策和市场准入标准、项目审批核准或备案程序、用地预审、环境影响评价审批、节能评估审查以及信贷、安全和城市规划等规定和要求）进行严格的合规审查，以项目获得有关主管部门审批通过作为项目授信合规审查的最低要求。银行业机构在进行合规审查时，既要关注形式上的合规要求，如相关审批（或核准、备案）文件的权威性、完整性和相关程序的合法性，又要关注实质上的合规要求，包括新上项目要符合国家的产业政策和发展趋势，项目环评要与规划环评的总要求相容，技术经济标准原则上应向国内先进水平和国际水平看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银行业金融机构要加强对项目建设授信资金的拨付管理。建设项目应获得而未获得环评审批的，银行业机构不得预先拨付资金进行开工前准备和建设；项目环保设施的设计、施工、运营与主体工程不同时的，银行业机构应暂停主体工程建设的资金拨付，直到“三同时”实现为止；项目完工后应获得而未获得项目竣工环评审批，银行业机构不得拨付项目运营资金；对境内企业在国外投资建设的项目，银行业机构在授信管理中应督促建设企业遵守项目所在国家或地区的环保及相关法律，遵循对国际融资项目的环境和社会风险进行评估和控制的国际良好做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银行业金融机构应加强项目授信的分类管理，有条件的银行可以根据借款项目对环境的影响程度将其分为三类：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A类：严重改变环境原状且产生的不良环境和社会后果不易消除的项目；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B类：产生不良环境和社会后果，但较易通过缓释措施加以消除的项目；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C类：不会产生明显不良环境和社会后果的项目。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业机构应对上述不同类型的项目授信进行分类管理。对列为A类项目和B类中有较大风险的项目，银行业机构应要求建设单位乃至重要的第三方如承包商、供应商、监理商等，建立和实施针对环境影响的管理制度和行动计划、与当地社区和社会公众的沟通制度、以及监测、评估和报告（公告）制度，同时通过独立的第三方对其环境风险控制的机制、能力、结果进行监督和评估。对B类中风险较小的项目和列为C类的项目，银行业机构对建设单位的环境风险控制给予适当关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银行业金融机构对存在重大耗能和污染风险的授信企业应实行名单式管理。进入名单的授信企业包括被国家和地方节能减排主管部门列为重点监控的企业，银行业机构自主认定的其他存在重大耗能、污染风险的授信企业。银行业机构要主动与节能减排主管部门沟通，及时了解上述企业的节能减排目标完成情况和环保合规情况，不断更新企业名单，对列入名单的授信企业要加强授信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银行业金融机构应寻求各种方式缓释与耗能、污染有关的合规与授信风险，可以要求建设单位提高资本金比重，发行中长期公司债（企业债），加列节能降耗的技改项目和投改计划，并以有效益的项目建成后的经营权、现金流作为授信的质押，还可要求建设单位对项目投保建设期保险，投保与耗能、污染风险有关的工程责任险、环境责任险、产品责任险等。对存在重大风险的授信企业和项目，可以通过银团贷款加强管理，分散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银行业金融机构在信贷产品的风险定价时应充分考虑授信企业和项目与耗能、污染有关的授信风险，按照风险与收益相称的原则，合理确定节能减排授信定价。在确定风险调整后收益指标和分配经济资本时，应充分考虑高耗能、高污染行业中的企业和项目可能引发的各类风险影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银行业金融机构应密切关注国家调整产业结构、关闭落后产能对授信企业和项目偿还能力的影响，密切关注节能减排政策变化和节能减排标准提高对授信企业和项目的现金流的影响，加强敏感性分析，并在资产风险分类、准备计提、损失核销等方面做出及时调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银行业金融机构应加强涉及耗能、污染风险的企业和项目的授信合同管理，在授信合同中订立与耗能、污染风险有关的条款，包括借款人声明节能减排合规的条款，未履行承诺或耗能、污染风险显现时，同意加速回收贷款或中止贷款的条款、同意提前行使抵质押权的条款等，并严格监控违约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银行业金融机构要加强人员培训和能力建设，积累与耗能、污染有关的专业知识，努力提高本机构对涉及耗能、污染风险的企业和项目的授信管理能力。可以根据本机构的业务规模、授信行业和客户的风险特点，培养和引进有关专业人才，也可以借助第三方评审或通过其他有效的服务外包方式，获得相关专业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银行业金融机构要加强节能减排授信工作的信息披露，公开本机构的节能减排授信政策和标准，披露存在重大耗能、污染风险的企业和项目的授信情况等，接受市场和利益相关者的监督。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银监会将把节能减排授信作为银行业机构评级的重要内容，将评价结果与被监管银行业机构高管人员履职评价、分支机构准入、业务发展相挂钩，落实到位的，予以鼓励。对高耗能、高污染行业授信比例大、增长速度快的银行业机构将安排专项检查，并根据检查结果督促其进行整改。必要时，将要求外部审计师关注被审计的银行业机构与高耗能、高污染企业和项目有关的授信风险和合规风险，发挥外部审计的监督作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 各级银行业协会要积极协助和指导银行业机构做好节能减排授信工作，推广先进经验和良好做法，提供信息服务和技术咨询，加强与相关行业协会、专业协会的联系。</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第二十四条 信托公司、企业集团财务公司、金融租赁等非银行金融机构参照本指导意见做好相关工作。</w:t>
      </w:r>
    </w:p>
    <w:p>
      <w:pPr>
        <w:pStyle w:val="2"/>
        <w:numPr>
          <w:ilvl w:val="0"/>
          <w:numId w:val="0"/>
        </w:numPr>
        <w:ind w:left="922" w:leftChars="0" w:hanging="440" w:firstLineChars="0"/>
      </w:pPr>
      <w:bookmarkStart w:id="199" w:name="_Toc1332"/>
      <w:r>
        <w:rPr>
          <w:rFonts w:cs="宋体" w:asciiTheme="majorEastAsia" w:hAnsiTheme="majorEastAsia" w:eastAsiaTheme="majorEastAsia"/>
          <w:b/>
          <w:bCs/>
          <w:sz w:val="24"/>
          <w:szCs w:val="24"/>
          <w:lang w:val="en-US" w:eastAsia="zh-CN" w:bidi="ar-SA"/>
        </w:rPr>
        <w:t>33.</w:t>
      </w:r>
      <w:r>
        <w:rPr>
          <w:rFonts w:hint="eastAsia"/>
        </w:rPr>
        <w:t>《银行与信托公司业务合作指引》</w:t>
      </w:r>
      <w:bookmarkEnd w:id="199"/>
    </w:p>
    <w:p>
      <w:pPr>
        <w:spacing w:after="156" w:afterLines="50" w:line="360" w:lineRule="auto"/>
        <w:ind w:firstLine="480" w:firstLineChars="200"/>
        <w:outlineLvl w:val="0"/>
        <w:rPr>
          <w:rFonts w:cs="宋体" w:asciiTheme="majorEastAsia" w:hAnsiTheme="majorEastAsia" w:eastAsiaTheme="majorEastAsia"/>
        </w:rPr>
      </w:pPr>
      <w:bookmarkStart w:id="200" w:name="_Toc27369"/>
      <w:r>
        <w:rPr>
          <w:rFonts w:hint="eastAsia" w:cs="宋体" w:asciiTheme="majorEastAsia" w:hAnsiTheme="majorEastAsia" w:eastAsiaTheme="majorEastAsia"/>
        </w:rPr>
        <w:t>发文机构：中国银行业监督管理委员会(已撤销)</w:t>
      </w:r>
      <w:bookmarkEnd w:id="200"/>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文号：银监发〔2008〕83号</w:t>
      </w:r>
    </w:p>
    <w:p>
      <w:pPr>
        <w:spacing w:after="156" w:afterLines="50" w:line="360" w:lineRule="auto"/>
        <w:ind w:firstLine="482" w:firstLineChars="200"/>
        <w:outlineLvl w:val="0"/>
        <w:rPr>
          <w:rFonts w:cs="宋体" w:asciiTheme="majorEastAsia" w:hAnsiTheme="majorEastAsia" w:eastAsiaTheme="majorEastAsia"/>
          <w:b/>
          <w:bCs/>
        </w:rPr>
      </w:pPr>
      <w:bookmarkStart w:id="201" w:name="_Toc2284"/>
      <w:r>
        <w:rPr>
          <w:rFonts w:hint="eastAsia" w:cs="宋体" w:asciiTheme="majorEastAsia" w:hAnsiTheme="majorEastAsia" w:eastAsiaTheme="majorEastAsia"/>
          <w:b/>
          <w:bCs/>
        </w:rPr>
        <w:t>第一章总则</w:t>
      </w:r>
      <w:bookmarkEnd w:id="201"/>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规范银行与信托公司开展业务合作的经营行为，引领银行、信托公司依法创新，促进银信合作健康、有序发展，保护银信合作相关当事人的合法权益，根据《中华人民共和国银行业监督管理法》、《中华人民共和国商业银行法》和《中华人民共和国信托法》等法律，以及银行、信托公司的有关监管规章，制定本指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银行、信托公司在中华人民共和国境内开展业务合作,适用本指引。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本指引所称银行，包括中华人民共和国境内依法设立的商业银行、农村合作银行、城市信用合作社、农村信用合作社等吸收公众存款的金融机构以及政策性银行。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本指引所称信托公司是指中华人民共和国境内依法设立的主要经营信托业务的金融机构。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银行、信托公司开展业务合作，应当遵守国家宏观政策、产业政策和环境保护政策等要求，充分发挥银行和信托公司的各自优势，平等协商、互惠互利、公开透明、防范风险，实现合作双方的优势互补和双赢。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中国银监会对银行、信托公司开展业务合作实施监督管理。</w:t>
      </w:r>
    </w:p>
    <w:p>
      <w:pPr>
        <w:spacing w:after="156" w:afterLines="50" w:line="360" w:lineRule="auto"/>
        <w:ind w:firstLine="482" w:firstLineChars="200"/>
        <w:outlineLvl w:val="0"/>
        <w:rPr>
          <w:rFonts w:cs="宋体" w:asciiTheme="majorEastAsia" w:hAnsiTheme="majorEastAsia" w:eastAsiaTheme="majorEastAsia"/>
          <w:b/>
          <w:bCs/>
        </w:rPr>
      </w:pPr>
      <w:bookmarkStart w:id="202" w:name="_Toc749"/>
      <w:r>
        <w:rPr>
          <w:rFonts w:hint="eastAsia" w:cs="宋体" w:asciiTheme="majorEastAsia" w:hAnsiTheme="majorEastAsia" w:eastAsiaTheme="majorEastAsia"/>
          <w:b/>
          <w:bCs/>
        </w:rPr>
        <w:t>第二章银信理财合作</w:t>
      </w:r>
      <w:bookmarkEnd w:id="20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本指引所称银信理财合作，是指银行将理财计划项下的资金交付信托，由信托公司担任受托人并按照信托文件的约定进行管理、运用和处分的行为。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银信理财合作应当符合以下要求：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（一）坚持审慎原则，遵守相关法律法规和监管规定；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（二）银行、信托公司应各自独立核算，并建立有效的风险隔离机制；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（三）信托公司应当勤勉尽责独立处理信托事务，银行不得干预信托公司的管理行为；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（四）依法、及时、充分披露银信理财的相关信息；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（五）中国银监会规定的其他要求。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银行、信托公司应当建立与银信理财合作相适应的管理制度，包括但不限于业务立项审批制度、合规管理和风险管理制度、信息披露制度等，并建立完善的前、中、后台管理系统。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银行开展银信理财合作，应当有清晰的战略规划，制定符合本行实际的合作战略并经董事会或理事会通过，同时遵守以下规定：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（一）严格遵守《商业银行个人理财业务管理暂行办法》等监管规定；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（二）充分揭示理财计划风险，并对客户进行风险承受度测试；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（三）理财计划推介中，应明示理财资金运用方式和信托财产管理方式；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（四）未经严格测算并提供测算依据和测算方式，理财计划推介中不得使用“预期收益率”、“最高收益率”或意思相近的表述；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（五）书面告知客户信托公司的基本情况，并在理财协议中载明其名称、住所等信息；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（六）银行理财计划的产品风险和信托投资风险相适应；</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（七）每一只理财计划至少配备一名理财经理，负责该理财计划的管理、协调工作，并于理财计划结束时制作运行效果评价书；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（八）依据监管规定编制相关理财报告并向客户披露。</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信托公司开展银信理财合作，应当和银行订立信托文件，并遵守以下规定：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（一）严格遵守《信托公司管理办法》、《信托公司集合资金信托计划管理办法》等监管规定；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（二）认真履行受托职责，严格管理信托财产；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（三）为信托财产开立信托财产专户，并将信托财产与固有财产分别管理、分别记账；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（四）每一只银信理财合作产品至少配备一名信托经理；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（五）按照信托文件约定向银行披露信托事务处理情况。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信托公司应自己履行管理职责。出现信托文件约定的特殊事由需要将部分信托事务委托他人代为处理的，信托公司应当于事前十个工作日告知银行并向监管部门报告；应自行向他人支付代理费用，对他人代为处分的行为承担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信托公司开展银信理财合作，可以将理财资金进行组合运用，组合运用应事先明确运用范围和投资策略。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银行开展银信理财合作，应当按照现有法律法规的规定和理财协议约定，及时、准确、充分、完整地向客户披露信息，揭示风险。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信托公司开展银信理财合作，应当按照现有法律法规的规定和信托文件约定，及时、准确、充分、完整地向银行披露信息，揭示风险。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信托公司除收取信托文件约定的信托报酬外，不得从信托财产中谋取任何利益。信托终止后，信托公司应当将信托财产及其收益全部转移给银行。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银行按照理财协议收取费用后，应当将剩余的理财资产全部向客户分配。</w:t>
      </w:r>
    </w:p>
    <w:p>
      <w:pPr>
        <w:spacing w:after="156" w:afterLines="50" w:line="360" w:lineRule="auto"/>
        <w:ind w:firstLine="482" w:firstLineChars="200"/>
        <w:outlineLvl w:val="0"/>
        <w:rPr>
          <w:rFonts w:cs="宋体" w:asciiTheme="majorEastAsia" w:hAnsiTheme="majorEastAsia" w:eastAsiaTheme="majorEastAsia"/>
          <w:b/>
          <w:bCs/>
        </w:rPr>
      </w:pPr>
      <w:bookmarkStart w:id="203" w:name="_Toc5240"/>
      <w:r>
        <w:rPr>
          <w:rFonts w:hint="eastAsia" w:cs="宋体" w:asciiTheme="majorEastAsia" w:hAnsiTheme="majorEastAsia" w:eastAsiaTheme="majorEastAsia"/>
          <w:b/>
          <w:bCs/>
        </w:rPr>
        <w:t>第三章银信其他合作</w:t>
      </w:r>
      <w:bookmarkEnd w:id="20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银行和信托公司开展信贷资产证券化合作业务，应当遵守以下规定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（一）符合《信贷资产证券化试点管理办法》、《金融机构信贷资产证券化试点监督管理办法》等规定；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（二）拟证券化信贷资产的范围、种类、标准和状况等事项要明确，且与实际披露的资产信息相一致。信托公司可以聘请中介机构对该信贷资产进行审计；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（三）信托公司应当自主选择贷款服务机构、资金保管机构、证券登记托管机构，以及律师事务所、会计师事务所、评级机构等其他为证券化交易提供服务的机构，银行不得代为指定；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（四）银行不得干预信托公司处理日常信托事务；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（五）信贷资产实施证券化后，信托公司应当随时了解信贷资产的管理情况，并按规定向资产支持证券持有人披露。贷款服务机构应按照约定及时向信托公司报告信贷资产的管理情况，并接受信托公司核查。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信托公司委托银行代为推介信托计划的，信托公司应当向银行提供完整的信托文件，并对银行推介人员开展推介培训；银行应向合格投资者推介，推介内容不应超出信托文件的约定，不得夸大宣传，并充分揭示信托计划的风险，提示信托投资风险自担原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银行接受信托公司委托代为推介信托计划，不承担信托计划的投资风险。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信托公司可以与银行签订信托资金代理收付协议。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代理收付协议应明确界定信托公司与银行的权利义务关系，银行只承担代理信托资金收付责任，不承担信托计划的投资风险。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信托财产为资金的，信托公司应当按照有关规定，在银行开立信托财产专户。银行为信托资金开立信托财产专户时，应要求信托公司提供相关开户材料。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信托公司设立信托计划，应当选择经营稳健的银行担任保管人。受托人、保管人的权利义务关系，应当遵守《信托公司集合资金信托计划管理办法》的有关规定。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信托公司可以将信托财产投资于金融机构股权。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信托公司将信托财产投资于与自身存在关联关系的金融机构的股权时，应当以公平的市场价格进行，并逐笔向中国银监会报告。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银行、信托公司开展银信合作业务过程中，可以订立协议，为对方提供投资建议、财务分析与规划等专业化服务。</w:t>
      </w:r>
    </w:p>
    <w:p>
      <w:pPr>
        <w:spacing w:after="156" w:afterLines="50" w:line="360" w:lineRule="auto"/>
        <w:ind w:firstLine="482" w:firstLineChars="200"/>
        <w:outlineLvl w:val="0"/>
        <w:rPr>
          <w:rFonts w:cs="宋体" w:asciiTheme="majorEastAsia" w:hAnsiTheme="majorEastAsia" w:eastAsiaTheme="majorEastAsia"/>
          <w:b/>
          <w:bCs/>
        </w:rPr>
      </w:pPr>
      <w:bookmarkStart w:id="204" w:name="_Toc11804"/>
      <w:r>
        <w:rPr>
          <w:rFonts w:hint="eastAsia" w:cs="宋体" w:asciiTheme="majorEastAsia" w:hAnsiTheme="majorEastAsia" w:eastAsiaTheme="majorEastAsia"/>
          <w:b/>
          <w:bCs/>
        </w:rPr>
        <w:t>第四章风险管理与控制</w:t>
      </w:r>
      <w:bookmarkEnd w:id="20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银行、信托公司开展业务合作，应当制订合作伙伴的选择标准，并在各自职责范围内建立相应的风险管理体系，完善风险管理制度。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 银行、信托公司开展业务合作，应当各自建立产品研发、营销管理、风险控制等部门间的分工与协作机制。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 银行应当根据客户的风险偏好、风险认知能力和承受能力，为客户提供与其风险承受力相适应的理财服务。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信托公司发现信托投资风险与理财协议约定的风险水平不适应时，应当向银行提出相关建议。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 银信合作过程中，银行、信托公司应当注意银行理财计划与信托产品在时点、期限、金额等方面的匹配。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 银行不得为银信理财合作涉及的信托产品及该信托产品项下财产运用对象等提供任何形式担保。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 信托公司投资于银行所持的信贷资产、票据资产等资产的，应当采取买断方式，且银行不得以任何形式回购。</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 银行以卖断方式向信托公司出售信贷资产、票据资产等资产的，事先应通过发布公告、书面通知等方式，将出售信贷资产、票据资产等资产的事项，告知相关权利人。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 在信托文件有效期内，信托公司发现作为信托财产的信贷资产、票据资产等资产在入库起算日不符合信托文件约定的范围、种类、标准和状况，可以要求银行予以置换。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第三十条 信托公司买断银行所持的信贷资产、票据资产等资产的，应当为该资产建立相应的档案，制订完整的资产清收和管理制度，并依据有关规定进行资产风险分类。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信托公司可以委托银行代为管理买断的信贷、票据资产等资产。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第三十一条 银行、信托公司进行业务合作应该遵守关联交易的相关规定，并按规定进行信息披露。</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第三十二条 中国银监会依法对银行、信托公司开展业务合作实施现场检查和非现场监管，可以要求银行、信托公司提供相关业务合作材料，核对双方账目，保障客户的合法权益。</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第三十三条 中国银监会依法对银行、信托公司开展业务合作中违法违规行为进行处罚。</w:t>
      </w:r>
    </w:p>
    <w:p>
      <w:pPr>
        <w:pStyle w:val="2"/>
        <w:numPr>
          <w:ilvl w:val="0"/>
          <w:numId w:val="0"/>
        </w:numPr>
        <w:ind w:left="922" w:leftChars="0" w:hanging="440" w:firstLineChars="0"/>
      </w:pPr>
      <w:bookmarkStart w:id="205" w:name="_Toc20370"/>
      <w:r>
        <w:rPr>
          <w:rFonts w:cs="宋体" w:asciiTheme="majorEastAsia" w:hAnsiTheme="majorEastAsia" w:eastAsiaTheme="majorEastAsia"/>
          <w:b/>
          <w:bCs/>
          <w:sz w:val="24"/>
          <w:szCs w:val="24"/>
          <w:lang w:val="en-US" w:eastAsia="zh-CN" w:bidi="ar-SA"/>
        </w:rPr>
        <w:t>34.</w:t>
      </w:r>
      <w:r>
        <w:rPr>
          <w:rFonts w:hint="eastAsia"/>
        </w:rPr>
        <w:t>《中国人民银行中国银行业监督管理委员会关于进一步加强信贷结构调整促进国民经济平稳较快发展的指导意见》</w:t>
      </w:r>
      <w:bookmarkEnd w:id="205"/>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发文机构：中国人民银行，中国银行业监督管理委员会（已撤销）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文号：银发〔2009〕92号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中国人民银行上海总部，各分行、营业管理部、省会（首府）城市中心支行、副省级城市中心支行；各省、自治区、直辖市银监局；各政策性银行，国有商业银行，股份制商业银行，中国邮政储蓄银行：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深入贯彻落实党中央、国务院关于进一步扩大内需、促进经济增长的十项措施和《国务院办公厅关于当前金融促进经济发展的若干意见》(国办发〔2008〕126号)精神，认真执行适度宽松的货币政策，在保持货币信贷总量合理增长的基础上，进一步加强信贷结构调整，促进国民经济平稳较快发展，现提出如下意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一、保证符合条件的中央投资项目所需配套贷款及时落实到位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金融机构在保持信贷总量合理均衡增长的基础上，要进一步优化信贷资金结构，统筹配置信贷资源，优先保证手续齐全、符合项目开工和建设条件的中央投资项目所需配套信贷资金及时落实到位。对中央投资计划内已经启动、正在建设中的项目，要保证必要的信贷配套资金及时安排和足额拨付；对符合中央新增投资投向、正在报批或需要继续完善新开工条件的项目，要加强与政府有关部门和项目单位的密切沟通协商，高效率、扎实做好信贷审查和信贷资金拨付的前期准备工作。鼓励和支持银行业金融机构通过银团贷款，合理分散信贷风险，为符合条件的大型中央政府投资项目提供有效信贷支持。鼓励地方政府通过增加地方财政贴息、完善信贷奖补机制、设立合规的政府投融资平台等多种方式，吸引和激励银行业金融机构加大对中央投资项目的信贷支持力度。支持有条件的地方政府组建投融资平台，发行企业债、中期票据等融资工具，拓宽中央政府投资项目的配套资金融资渠道。对钢铁、汽车、轻工、纺织、装备制造、电子信息、船舶、有色金属、石化、物流等国家重点产业调整振兴规划已明确支持方向的专项项目以及符合条件的技术改造项目，金融机构要根据产业规划的要求和项目需求特点，积极创新融资产品和服务方式，加大必要的融资支持力度，切实做好各项配套金融支持和服务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二、进一步加大涉农信贷投放，引导更多资金投向农村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金融机构都要积极支持农村改革发展，进一步研究采取得力措施，加大对符合信贷原则的涉农信贷资金投放力度，增加农村有效信贷供给。建立和完善考核制度及奖励机制，鼓励县域内各金融机构法人和各金融机构的分支机构当年可贷资金的一定比例留在当地使用。进一步做好当前农业春耕备耕、抗旱春管和严重干旱地区人畜饮水、森林防火以及防控禽流感等重大疫情的融资支持和服务工作。对符合信贷条件的春耕备耕和发展农业生产所需的农机具、种子、化肥、农药、农用薄膜等农用生产资料的生产和经营贷款，要加快审批，及时投放。大力发展新型农村金融机构和农村微型金融，有效扩大农村小额贷款的覆盖面，提高资金使用效益。切实加快推进农村金融产品和服务方式创新，中部六省和东北三省要认真抓好试点方案实施工作。稳步推进农村融资性担保体系的建立和发展，有效完善农村信贷风险分担机制，扩大农村有效担保物范围。大力开发符合农村实际特点的“信贷+保险”金融服务新产品。支持政策性金融加大对农业开发和农田水利等农村基础设施建设的中长期信贷支持。有条件的地方可以探索开办土地经营权抵押贷款。进一步完善农村扶贫贴息信贷管理机制。积极发展林权抵押贷款。在银行间债券市场扩大发行涉农企业短期融资券、小企业集合债券和涉农信贷资产支持证券等融资工具，拓宽涉农金融机构的资金来源和涉农企业的融资渠道。努力做好“家电下乡”、“汽车下乡”、“万村千乡市场”、“双百市场”、农机具购置补贴和农村信息化建设等配套金融服务工作，为农民扩大消费提供融资便利。推进金融机构与农民专业合作组织等农村中介机构的信用合作。对县域内当年涉农贷款投放超过规定比例的存款类金融机构法人，加大再贷款、再贴现支持，并实施优惠的存款准备金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三、多方面拓宽中小企业的融资渠道，对中小企业的金融服务要精细化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金融机构对已经出台的支持中小企业发展的各项信贷政策措施，要抓细、抓实、抓好落实，积极探索建立、健全中小企业融资量化考核制度。进一步完善支持中小企业发展的“六项机制”。加快设立中小企业信贷专营服务机构。鼓励各金融机构自主创新中小企业金融服务模式和业务流程，提高中小企业贷款审批效率和服务质量。加快推进企业信用体系建设，加强企业信用自律管理。支持有条件的中小企业利用电子商务平台拓展新市场。支持地方政府建立中小企业贷款风险补偿基金，完善中小企业信贷风险分担机制。规范、引导和发挥好民间金融在支持中小企业发展中的积极作用。支持金融机构发放并购贷款，及时满足中小企业合理的并购融资需求。支持地方政府在加强信用环境和金融生态建设的基础上，通过资本注入、风险补偿等方式增加对信用担保机构的支持，推进设立多层次中小企业贷款担保基金和担保机构，激励和促进金融机构稳步提高中小企业贷款比重。鼓励银行业金融机构对基本面和信用记录较好、有竞争力、有市场、有订单但暂时出现经营或财务困难的中小企业加大信贷及多元化融资支持，积极探索创新适合不同地域和不同发展阶段中小企业特点的融资产品和服务方式，利用授信开证、押汇、保理、融资租赁等多种融资手段，进一步拓宽中小企业的融资渠道，并做好对中小企业的金融信息咨询和代客理财服务。扩大中小企业短期融资券试点规模。在银行间市场加快推出高收益债券和中小企业集合债券。积极研究开发以中小企业贷款为标的资产的信用风险管理工具，有效分散中小企业信贷风险。加强中小企业金融统计和信息报送工作，探索建立适合中小企业特点的融资信息动态监测制度，及时掌握中小企业金融服务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四、扎实做好就业、助学、灾后重建等改善民生类的信贷政策支持工作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认真落实《国务院关于做好当前经济形势下就业工作的通知》(国发〔2009〕4号)，发挥小额担保贷款政策的积极作用，切实做好对零就业家庭、就业困难人员、高校毕业生、残疾人、返乡农民工等重点就业人群的小额担保贷款发放和金融支持帮扶工作。鼓励有条件的地方，积极创新信贷管理模式和服务方式，加大对具有比较优势的劳动密集型小企业的信贷支持，积极推动创业带动就业。加大对发展职业教育的融资支持，提高返乡农民工就业能力。进一步推进生源地信用助学贷款、国家助学贷款管理和商业性助学贷款业务，完善助学贷款风险分担机制，扩大助学贷款覆盖面，加强政策实施效果监测评估。积极探索建立助学贷款信用保险制度。做细、做实汶川地震灾后恢复重建的各项金融支持和服务工作。对符合条件的农户灾后自住房建设、灾区基础设施建设和灾区支柱产业加大有效信贷投放。积极研究采取措施，加大对灾区农村信用社等地方法人金融机构的扶持力度。探索建立灾后重建贷款的担保和信贷风险分担及补偿机制，支持各金融机构对符合条件的因灾不良贷款按规定予以核销，增强金融机构支持灾区重建的内在激励。</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五、鼓励发展消费信贷，做大做好消费信贷市场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积极研究、制定和落实有利于扩大消费的信贷政策措施，有针对性地培育和巩固消费信贷增长点，集中推进汽车、住房、家电、教育、旅游等与民生密切相关的产业的信贷消费。系统总结近年来国内消费信贷政策的实践经验，及时消除制度障碍，研究和探索拉动市场消费、特别是拉动农村扩大消费的有效措施和办法。引导金融机构加大消费信贷产品创新力度，改进消费信贷业务管理方式。支持有条件的地方试点设立消费金融公司。鼓励加强银商合作，在有效防范风险的基础上，推广银行卡使用，提高刷卡效率，促进扩大银行卡消费。拓展和完善农民工银行卡特色服务功能，支持开发符合农村市场特点的银行卡产品。完善汽车融资管理制度，加强汽车经销商的贷款管理，扩大汽车消费潜在市场。鼓励和支持各商业银行与汽车金融公司开展多方面的业务合作，支持符合条件的汽车金融公司发行金融债券，扩大汽车贷款证券化规模，拓宽汽车金融公司融资渠道。大力支持发展服务业、创意文化产业、旅游业等新型消费，鼓励发展服务外包产业和现代物流配送服务，积极开发潜在消费市场。加大对符合条件的大型流通企业集团和中小商贸企业融资支持力度，扩大信用销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六、落实好房地产信贷政策，支持房地产市场平稳健康发展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认真落实《国务院办公厅关于促进房地产市场健康发展的若干意见》(国办发〔2008〕131号)，积极支持符合贷款条件的廉租住房、经济适用住房等保障性住房建设项目。进一步加大对中低价位、中小套型普通商品住房建设、特别是在建项目的信贷支持力度。做好对有实力、有信誉的房地产开发企业兼并重组有关企业或项目的融资支持和配套金融服务。支持资信条件较好的房地产企业发行企业债券和开展房地产投资信托基金试点，拓宽房地产企业融资渠道。加大对自住型和改善型住房消费的信贷支持力度，鼓励普通商品住房消费。各银行业金融机构要严格贯彻落实房地产信贷政策，努力改进和完善房地产金融服务，继续支持房地产行业平稳健康发展，并切实做好风险防范工作。人民银行各分支机构和各地银监局要密切跟踪把握辖区内房地产市场变化和房地产信贷政策落实情况，及时反映新情况、新问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七、加大对产业转移的融资支持，支持过剩产业有序转移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鼓励金融机构开展出口信贷业务，灵活运用票据贴现、押汇贷款、对外担保等方式，培育一批具有自主知识产权、自主品牌和高附加值的出口拳头产品，促进加工贸易转型升级和梯度转移。多方面拓宽融资渠道，加大对企业参与境外基础设施建设、农业综合开发、农产品加工基地和营销网络建设、外派劳务基地建设的支持力度。支持国内有实力的企业开展高新技术领域的跨国并购。适应国内产业升级和产业梯度转移的发展要求，稳步扩大总部融资模式施行范围，支持优势企业兼并重组。支持发展特色产业区域和优势产业集群。积极促进贸易投资便利化，加快进出口核销制度改革，支持外贸出口。进一步完善出口收汇网上核销和出口退税无纸化管理，适当提高企业预收货款结汇比例和延期付款年度发生额规模，简化企业申请比例结汇和临时额度的审批程序，提高审批效率，支持境内企业加大对境外的战略性投资。鼓励金融机构扩大人民币出口买方信贷业务。完善出口信用保险项下贸易融资、境外资金管理、国际保理等配套金融服务，改进和提升支持企业“走出去”融资和结算服务。加强跨境资金流动管理，做好对进出口与贸易收付汇的真实性及一致性的审核工作。加大对企业进口先进技术设备、节能环保设备、关键零部件和重要原材料的贸易融资支持，为发展服务贸易提供更为快捷的结算便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八、支持区域经济协调发展，推进实施区域经济发展战略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进一步细化金融服务西部开发、振兴东北、中部崛起等国家重大区域经济发展战略的信贷政策支持措施。引导和鼓励金融机构加大金融支持和创新力度，建立长期稳定的资金开发渠道，促进东西互动、产业承接，实现东中西部优势互补，推动区域经济协调发展。鼓励地方政府加强区域信用环境和金融生态建设,不断增强欠发达地区对信贷资金的吸引力。进一步加强和改进适合区域特点的金融服务，建立健全区域经济社会加快发展的可持续机制，加大对革命老区、民族地区、边疆地区、贫困地区和人口较少民族的金融支持，全面做好国家重点科技开发园区、经济特区、环渤海经济区、长三角区域经济一体化、天津滨海新区开发开放、重庆统筹城乡改革试验区等国家重点支持区域的各项金融服务。将民族贸易用品和民族特需用品生产企业优惠利率贷款的承贷银行，从国有商业银行扩大到股份制商业银行和农村信用社。完善边贸结算政策，引导和鼓励边贸地区的企业使用人民币进行贸易结算。认真落实广东和长江三角洲地区与港澳地区、广西和云南与东盟的货物贸易进行人民币结算试点工作。积极推动和促进海峡两岸开展和加强实质性金融合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九、促进自主创新成果产业化，推动产业结构优化升级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挥科技对扩大内需的支撑作用，鼓励和引导金融机构支持企业自主创新，用好各类政府基金、财政贴息等补偿手段，加强对国家级工程技术研究中心、重点实验室建设、高新技术产业群、国家高技术示范工程建设、国家重大科技产业化项目、科技成果转化项目等方面的信贷投入，促进提高企业自主创新能力，推动自主创新成果产业化。鼓励地方政府设立创业投资引导基金，通过参股和提供融资担保等方式扶持创业投资企业，促进政府引导、市场化运作的创业投资发展。探索推进知识产权、自主品牌质押贷款，支持火炬、星火等科技发展计划项目。加快发展私募股权基金，探索发行非上市企业私募可转换债券，搭建多种形式的科技金融合作平台，促进更多资本进入创业投资市场，支持创业孵化服务机构发展。为高科技创业风险投资企业跨境资金运作创造更加宽松的金融、外汇服务环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十、加强信贷结构监测评估，有效防范和控制信贷风险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人民银行各分支机构和银监会各派出机构在坚持“区别对待、有保有压”的方针，积极鼓励和引导银行业金融机构对重点项目、重点产业和重点区域加大信贷支持的同时，要全面加强信贷结构监测分析和评估，对辖区内信贷资金投放的结构、节奏和进度的动态信息要及时把握，心中有数。在加强信贷结构调整的同时，要特别注意防止金融机构贷长、贷大、贷集中和严重存贷期限错配产生新的系统性金融风险。对于不符合国家产业政策规定、市场准入标准、达不到国家环评和排放要求的项目，要严格限制任何形式的新增授信支持，并依法加强监督检查，切实防止低水平重复建设。要进一步密切合作，建立和完善辖区内信贷结构定期监测分析评估制度，提高信贷结构分析监测能力，加强对国内外经济走势和各经济领域发展状况的前瞻性判断和预测，及时反映新情况、新问题，加强信贷政策指导和风险提示，促进货币信贷政策在辖区得到有效贯彻落实。</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请人民银行上海总部，各分行、营业管理部、省会（首府）城市中心支行、副省级城市中心支行会同当地银监局将本意见迅速转发至辖区内各金融机构，并结合辖区特点抓紧制定实施意见，加强组织协调，做好贯彻实施工作。本意见贯彻实施情况，请及时报告人民银行和银监会。</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二〇〇九年三月十八日</w:t>
      </w:r>
    </w:p>
    <w:p>
      <w:pPr>
        <w:pStyle w:val="2"/>
        <w:numPr>
          <w:ilvl w:val="0"/>
          <w:numId w:val="0"/>
        </w:numPr>
        <w:ind w:left="922" w:leftChars="0" w:hanging="440" w:firstLineChars="0"/>
      </w:pPr>
      <w:bookmarkStart w:id="206" w:name="_Toc21625"/>
      <w:r>
        <w:rPr>
          <w:rFonts w:cs="宋体" w:asciiTheme="majorEastAsia" w:hAnsiTheme="majorEastAsia" w:eastAsiaTheme="majorEastAsia"/>
          <w:b/>
          <w:bCs/>
          <w:sz w:val="24"/>
          <w:szCs w:val="24"/>
          <w:lang w:val="en-US" w:eastAsia="zh-CN" w:bidi="ar-SA"/>
        </w:rPr>
        <w:t>35.</w:t>
      </w:r>
      <w:r>
        <w:rPr>
          <w:rFonts w:hint="eastAsia"/>
        </w:rPr>
        <w:t>《国务院关于调整固定资产投资项目资本金比例的通知》</w:t>
      </w:r>
      <w:bookmarkEnd w:id="206"/>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发文机构：国务院</w:t>
      </w:r>
      <w:r>
        <w:rPr>
          <w:rFonts w:hint="eastAsia" w:cs="宋体" w:asciiTheme="majorEastAsia" w:hAnsiTheme="majorEastAsia" w:eastAsiaTheme="majorEastAsia"/>
        </w:rPr>
        <w:tab/>
      </w:r>
      <w:r>
        <w:rPr>
          <w:rFonts w:hint="eastAsia" w:cs="宋体" w:asciiTheme="majorEastAsia" w:hAnsiTheme="majorEastAsia" w:eastAsiaTheme="majorEastAsia"/>
        </w:rPr>
        <w:t>国发〔2009〕27号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各省、自治区、直辖市人民政府，国务院各部委、各直属机构：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固定资产投资项目资本金制度既是宏观调控手段，也是风险约束机制。该制度自1996年建立以来，对改善宏观调控、促进结构调整、控制企业投资风险、保障金融机构稳健经营、防范金融风险发挥了积极作用。为应对国际金融危机，扩大国内需求，有保有压，促进结构调整，有效防范金融风险，保持国民经济平稳较快增长，国务院决定对固定资产投资项目资本金比例进行适当调整。现就有关事项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一、各行业固定资产投资项目的最低资本金比例按以下规定执行：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钢铁、电解铝项目，最低资本金比例为40%。</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水泥项目，最低资本金比例为35%。</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煤炭、电石、铁合金、烧碱、焦炭、黄磷、玉米深加工、机场、港口、沿海及内河航运项目，最低资本金比例为30%。</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铁路、公路、城市轨道交通、化肥（钾肥除外）项目，最低资本金比例为25%。</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保障性住房和普通商品住房项目的最低资本金比例为20%，其他房地产开发项目的最低资本金比例为30%。</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其他项目的最低资本金比例为20%。</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经国务院批准，对个别情况特殊的国家重大建设项目，可以适当降低最低资本金比例要求。属于国家支持的中小企业自主创新、高新技术投资项目，最低资本金比例可以适当降低。外商投资项目按现行有关法规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金融机构在提供信贷支持和服务时，要坚持独立审贷，切实防范金融风险。要根据借款主体和项目实际情况，参照国家规定的资本金比例要求，对资本金的真实性、投资收益和贷款风险进行全面审查和评估，自主决定是否发放贷款以及具体的贷款数量和比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自本通知发布之日起，凡尚未审批可行性研究报告、核准项目申请报告、办理备案手续的投资项目，以及金融机构尚未贷款的投资项目，均按照本通知执行。已经办理相关手续但尚未开工建设的投资项目，参照本通知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五、国家将根据经济形势发展和宏观调控需要，适时调整固定资产投资项目最低资本金比例。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六、本通知自发布之日起执行。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国务院</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二００九年五月二十五日</w:t>
      </w:r>
    </w:p>
    <w:p>
      <w:pPr>
        <w:pStyle w:val="2"/>
        <w:numPr>
          <w:ilvl w:val="0"/>
          <w:numId w:val="0"/>
        </w:numPr>
        <w:ind w:left="922" w:leftChars="0" w:hanging="440" w:firstLineChars="0"/>
      </w:pPr>
      <w:bookmarkStart w:id="207" w:name="_Toc11418"/>
      <w:r>
        <w:rPr>
          <w:rFonts w:cs="宋体" w:asciiTheme="majorEastAsia" w:hAnsiTheme="majorEastAsia" w:eastAsiaTheme="majorEastAsia"/>
          <w:b/>
          <w:bCs/>
          <w:sz w:val="24"/>
          <w:szCs w:val="24"/>
          <w:lang w:val="en-US" w:eastAsia="zh-CN" w:bidi="ar-SA"/>
        </w:rPr>
        <w:t>36.</w:t>
      </w:r>
      <w:r>
        <w:rPr>
          <w:rFonts w:hint="eastAsia"/>
        </w:rPr>
        <w:t>《项目融资业务指引》</w:t>
      </w:r>
      <w:bookmarkEnd w:id="20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文号：银监发[2009]71号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促进银行业金融机构项目融资业务健康发展，有效管理项目融资风险，依据《中华人民共和国银行业监督管理法》、《中华人民共和国商业银行法》、《固定资产贷款管理暂行办法》以及其他有关法律法规，制定本指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中华人民共和国境内经国务院银行业监督管理机构批准设立的银行业金融机构（以下简称贷款人）开展项目融资业务，适用本指引。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本指引所称项目融资，是指符合以下特征的贷款：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（一）贷款用途通常是用于建造一个或一组大型生产装置、基础设施、房地产项目或其他项目，包括对在建或已建项目的再融资；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（二）借款人通常是为建设、经营该项目或为该项目融资而专门组建的企事业法人，包括主要从事该项目建设、经营或融资的既有企事业法人；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（三）还款资金来源主要依赖该项目产生的销售收入、补贴收入或其他收入，一般不具备其他还款来源。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贷款人从事项目融资业务，应当具备对所从事项目的风险识别和管理能力，配备业务开展所需要的专业人员，建立完善的操作流程和风险管理机制。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贷款人可以根据需要，委托或者要求借款人委托具备相关资质的独立中介机构为项目提供法律、税务、保险、技术、环保和监理等方面的专业意见或服务。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贷款人提供项目融资的项目，应当符合国家产业、土地、环保和投资管理等相关政策。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贷款人从事项目融资业务，应当充分识别和评估融资项目中存在的建设期风险和经营期风险，包括政策风险、筹资风险、完工风险、产品市场风险、超支风险、原材料风险、营运风险、汇率风险、环保风险和其他相关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贷款人从事项目融资业务，应当以偿债能力分析为核心，重点从项目技术可行性、财务可行性和还款来源可靠性等方面评估项目风险，充分考虑政策变化、市场波动等不确定因素对项目的影响，审慎预测项目的未来收益和现金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贷款人应当按照国家关于固定资产投资项目资本金制度的有关规定，综合考虑项目风险水平和自身风险承受能力等因素，合理确定贷款金额。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贷款人应当根据项目预测现金流和投资回收期等因素，合理确定贷款期限和还款计划。</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贷款人应当按照中国人民银行关于利率管理的有关规定，根据风险收益匹配原则，综合考虑项目风险、风险缓释措施等因素，合理确定贷款利率。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贷款人可以根据项目融资在不同阶段的风险特征和水平，采用不同的贷款利率。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贷款人应当要求将符合抵质押条件的项目资产和/或项目预期收益等权利为贷款设定担保，并可以根据需要，将项目发起人持有的项目公司股权为贷款设定质押担保。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贷款人应当要求成为项目所投保商业保险的第一顺位保险金请求权人，或采取其他措施有效控制保险赔款权益。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贷款人应当采取措施有效降低和分散融资项目在建设期和经营期的各类风险。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贷款人应当以要求借款人或者通过借款人要求项目相关方签订总承包合同、投保商业保险、建立完工保证金、提供完工担保和履约保函等方式，最大限度降低建设期风险。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贷款人可以以要求借款人签订长期供销合同、使用金融衍生工具或者发起人提供资金缺口担保等方式，有效分散经营期风险。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贷款人可以通过为项目提供财务顾问服务，为项目设计综合金融服务方案，组合运用各种融资工具，拓宽项目资金来源渠道，有效分散风险。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贷款人应当按照《固定资产贷款管理暂行办法》的有关规定，恰当设计账户管理、贷款资金支付、借款人承诺、财务指标控制、重大违约事项等项目融资合同条款，促进项目正常建设和运营，有效控制项目融资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贷款人应当根据项目的实际进度和资金需求，按照合同约定的条件发放贷款资金。贷款发放前，贷款人应当确认与拟发放贷款同比例的项目资本金足额到位，并与贷款配套使用。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贷款人应当按照《固定资产贷款管理暂行办法》关于贷款发放与支付的有关规定，对贷款资金的支付实施管理和控制，必要时可以与借款人在借款合同中约定专门的贷款发放账户。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采用贷款人受托支付方式的，贷款人在必要时可以要求借款人、独立中介机构和承包商等共同检查设备建造或者工程建设进度，并根据出具的、符合合同约定条件的共同签证单，进行贷款支付。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贷款人应当与借款人约定专门的项目收入账户，并要求所有项目收入进入约定账户，并按照事先约定的条件和方式对外支付。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贷款人应当对项目收入账户进行动态监测，当账户资金流动出现异常时，应当及时查明原因并采取相应措施。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在贷款存续期间，贷款人应当持续监测项目的建设和经营情况，根据贷款担保、市场环境、宏观经济变动等因素，定期对项目风险进行评价，并建立贷款质量监控制度和风险预警体系。出现可能影响贷款安全情形的，应当及时采取相应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多家银行业金融机构参与同一项目融资的，原则上应当采用银团贷款方式。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对文化创意、新技术开发等项目发放的符合项目融资特征的贷款，参照本指引执行。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本指引由中国银行业监督管理委员会负责解释。</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第二十二条 本指引自发布之日起三个月后施行。</w:t>
      </w:r>
    </w:p>
    <w:p>
      <w:pPr>
        <w:pStyle w:val="2"/>
        <w:numPr>
          <w:ilvl w:val="0"/>
          <w:numId w:val="0"/>
        </w:numPr>
        <w:ind w:left="922" w:leftChars="0" w:hanging="440" w:firstLineChars="0"/>
      </w:pPr>
      <w:bookmarkStart w:id="208" w:name="_Toc18344"/>
      <w:r>
        <w:rPr>
          <w:rFonts w:cs="宋体" w:asciiTheme="majorEastAsia" w:hAnsiTheme="majorEastAsia" w:eastAsiaTheme="majorEastAsia"/>
          <w:b/>
          <w:bCs/>
          <w:sz w:val="24"/>
          <w:szCs w:val="24"/>
          <w:lang w:val="en-US" w:eastAsia="zh-CN" w:bidi="ar-SA"/>
        </w:rPr>
        <w:t>37.</w:t>
      </w:r>
      <w:r>
        <w:rPr>
          <w:rFonts w:hint="eastAsia"/>
        </w:rPr>
        <w:t>《纸质商业汇票登记查询管理办法》</w:t>
      </w:r>
      <w:bookmarkEnd w:id="208"/>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发文机构：中国人民银行</w:t>
      </w:r>
      <w:r>
        <w:rPr>
          <w:rFonts w:hint="eastAsia" w:cs="宋体" w:asciiTheme="majorEastAsia" w:hAnsiTheme="majorEastAsia" w:eastAsiaTheme="majorEastAsia"/>
        </w:rPr>
        <w:tab/>
      </w:r>
      <w:r>
        <w:rPr>
          <w:rFonts w:hint="eastAsia" w:cs="宋体" w:asciiTheme="majorEastAsia" w:hAnsiTheme="majorEastAsia" w:eastAsiaTheme="majorEastAsia"/>
        </w:rPr>
        <w:t>文号：银发〔2009〕328号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为规范纸质商业汇票登记查询业务，促进纸质商业汇票流通，依据《中华人民共和国中国人民银行法》、《中华人民共和国票据法》、《支付结算办法》（银发〔1997〕393号文印发）及有关法律制度，制定本办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第二条经中国人民银行审核，在中华人民共和国境内通过电子商业汇票系统办理纸质商业汇票登记查询业务，适用本办法。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第三条银行业金融机构、财务公司（以下统称金融机构）是纸质商业汇票登记及查询的主体。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第四条登记主体负责按规定的登记方式和登记时点将纸质商业汇票相关信息登记至电子商业汇票系统。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登记主体应在办理纸质商业汇票有关业务后的当日至迟次日（遇法定休假日、电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子商业汇票系统非营业日顺延）进行登记。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第五条登记主体办理纸质商业汇票承兑、未用退回、贴现、转贴现、再贴现、质押、质押解除、委托收款、付款、拒付、挂失止付、公示催告、止付解除业务，应按规定进行登记。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第六条纸质商业汇票的登记主体及登记内容为：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（一）承兑业务的承兑人应登记票据种类、票据号码、出票人名称、收款人名称、承兑行或承兑人开户行行号、承兑人名称、出票日期、承兑日期、到期日、金额、交易合同编号。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（二）未用退回业务的承兑人应登记票据种类、票据号码、承兑行或承兑人开户行行号、承兑人名称、出票日期、到期日、金额、未用退回日期。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（三）贴现业务的贴入人应登记票据种类、票据号码、承兑行或承兑人开户行行号、承兑人名称、出票日期、到期日、金额、贴现日期、贴出人名称、贴入人名称，贴入人行号、交易合同编号、发票号码。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（四）转贴现业务的贴入人应登记票据种类、票据号码、承兑行或承兑人开户行行号、承兑人名称、出票日期、到期日、金额、转贴现日期、贴出人名称、贴入人名称，贴入人行号。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（五）再贴现业务的贴出人应登记票据种类、票据号码、承兑行或承兑人开户行行号、承兑人名称、出票日期、到期日、金额、再贴现日期、贴出人名称、贴出人行号、贴入人名称。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（六）质押业务的质权人应登记票据种类、票据号码、承兑行或承兑人开户行行号、承兑人名称、出票日期、到期日、金额、出质日期、出质人名称、质权人名称、质权人行号或质权人开户行行号。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质押解除业务的质权人应登记票据种类、票据号码、承兑行或承兑人开户行行号、承兑人名称、出票日期、到期日、金额、质押解除日期、原出质人名称、原质权人名称、原质权人行号或原质权人开户行行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委托收款业务的持票人开户行应登记票据种类、票据号码、承兑行或承兑人开户行行号、承兑人名称、出票日期、到期日、金额、委托收款日期、最后一手持票人名称、委托收款银行名称、委托收款银行行号、背书次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（九）票据付款后，承兑行或承兑人开户行应登记票据种类、票据号码、承兑行或承兑人开户行行号、承兑人名称、出票日期、到期日、金额、付款日期、最后一手持票人名称。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（十）票据拒付后，承兑行或承兑人开户行应登记票据种类、票据号码、承兑行或承兑人开户行行号、承兑人名称、出票日期、到期日、金额、拒付理由、拒付日期、最后一手持票人名称。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受理票据挂失止付或公示催告业务的承兑人应登记票据种类、票据号码、承兑行或承兑人开户行行号、承兑人名称、出票日期、到期日、金额、申请止付日期、止付类型、申请止付人名称、受理止付人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受理票据止付解除业务的承兑人应登记票据种类、票据号码、承兑行或承兑人开户行行号、承兑人名称、出票日期、到期日、金额、止付解除日期、止付解除类型、申请止付解除人名称、止付解除人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在承兑和贴现业务的登记中，若无交易合同编号，则登记交易合同名称。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第七条登记主体登记票据信息有误，应在知悉登记有误的当日予以更正。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票据种类、票据号码、承兑行或承兑人开户行行号、出票日期、到期日、金额中的一个或多个要素登记错误，登记主体发现登记有误后，应及时将原错误的登记信息重新登记，并在备注中注明“该登记及与该笔完全相同的登记有误，应作废”，同时登记一笔正确的票据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票据种类、票据号码、承兑行或承兑人开户行行号、出票日期、到期日、金额登记正确，其他信息登记错误，登记主体发现登记有误后，应及时登记正确的票据信息，并在备注中注明“原登记信息有误，以此为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第八条查询主体办理纸质商业汇票的贴现、转贴现、质押等业务时，可通过电子商业汇票系统查询票据的相关信息。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第九条查询主体查询时，需提供被查询票据的以下六项信息：票据种类、票据号码、承兑行或承兑人开户行行号、出票日期、到期日、金额。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第十条查询主体通过电子商业汇票系统查询票据信息时，电子商业汇票系统返回以下信息：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（一）该票据的所有登记信息；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（二）该票据的历史查询记录。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历史查询记录包括历次查询的查询行行号和查询时间。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第十一条登记主体登记时应认真核实相关信息，保证登记信息与票据信息一致。登记主体应对登记信息的完整性、准确性负责。登记有误的应承担相应责任。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第十二条非登记主体在办理纸质商业汇票承兑、质押、质押解除、挂失止付、公示催告、止付解除、未用退回业务后，可委托其开户金融机构进行上述业务信息的登记。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非登记主体进行委托登记时，应向其开户金融机构提供真实的纸质商业汇票。开户金融机构应当审核票据或相关证明材料后予以受理并进行相应登记。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第十三条非查询主体在办理票据的质押、背书等业务时，可委托查询主体查询票据的相关信息。委托查询时，应提供真实有效的纸质商业汇票，并根据查询主体的要求填写相应凭证。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查询主体查询票据信息后，应将查询结果加盖业务用章，并交付委托查询人。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第十四条票据登记查询主体进行登记查询票据信息时，不得有以下行为：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（一）未认真核实相关信息，致使登记信息与票据信息不符；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（二）登记信息有误未及时更正；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（三）频繁更正登记信息；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（四）未持有纸质商业汇票进行查询；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（五）恶意套取他人票据信息；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（六）其他违反相关法律制度的登记查询行为。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存在以上行为的，中国人民银行将停止相关金融机构的查询权限，并予以通报。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第十五条本办法由中国人民银行负责解释和修订。</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第十六条本办法自电子商业汇票系统上线后施行。</w:t>
      </w:r>
    </w:p>
    <w:p>
      <w:pPr>
        <w:pStyle w:val="2"/>
        <w:numPr>
          <w:ilvl w:val="0"/>
          <w:numId w:val="0"/>
        </w:numPr>
        <w:ind w:left="922" w:leftChars="0" w:hanging="440" w:firstLineChars="0"/>
      </w:pPr>
      <w:bookmarkStart w:id="209" w:name="_Toc17500"/>
      <w:r>
        <w:rPr>
          <w:rFonts w:cs="宋体" w:asciiTheme="majorEastAsia" w:hAnsiTheme="majorEastAsia" w:eastAsiaTheme="majorEastAsia"/>
          <w:b/>
          <w:bCs/>
          <w:sz w:val="24"/>
          <w:szCs w:val="24"/>
          <w:lang w:val="en-US" w:eastAsia="zh-CN" w:bidi="ar-SA"/>
        </w:rPr>
        <w:t>38.</w:t>
      </w:r>
      <w:r>
        <w:rPr>
          <w:rFonts w:hint="eastAsia"/>
        </w:rPr>
        <w:t>中国银监会办公厅关于严格执行《固定资产贷款管理暂行办法》、《流动资金贷款管理暂行办法》和《项目融资业务指引》的通知</w:t>
      </w:r>
      <w:bookmarkEnd w:id="209"/>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文号：银监办发[2010]53号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机关各部门、各监事会办公室，各银监局，各政策性银行、国有商业银行、股份制商业银行，邮政储蓄银行：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进一步规范银行业金融机构贷款业务经营行为，现就贯彻《固定资产贷款管理暂行办法》、《流动资金贷款管理暂行办法》和《项目融资业务指引》（以下简称《办法》和《指引》）的有关事项通知如下，请遵照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办法》和《指引》实施前已签订借款合同但尚未按合同全部支付（即所余未拨付部分）的固定资产贷款、流动资金贷款，必须自即日起严格执行《办法》和《指引》规定的支付条件和方式。贷款人应立即与相关当事人主动协商，采取有效措施，认真落实《办法》和《指引》有关贷款支付的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二、对于固定资产贷款，在风险可控的前提下，单笔支付金额小于50万元人民币的，可采取借款人自主支付方式。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请各银监局将本通知转发至辖内银监分局、城市商业银行、外资银行、城市信用社以及农村中小金融机构。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中国银监会办公厅</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二０一０年二月十二日</w:t>
      </w:r>
    </w:p>
    <w:p>
      <w:pPr>
        <w:pStyle w:val="2"/>
        <w:numPr>
          <w:ilvl w:val="0"/>
          <w:numId w:val="0"/>
        </w:numPr>
        <w:ind w:left="922" w:leftChars="0" w:hanging="440" w:firstLineChars="0"/>
      </w:pPr>
      <w:bookmarkStart w:id="210" w:name="_Toc31763"/>
      <w:r>
        <w:rPr>
          <w:rFonts w:cs="宋体" w:asciiTheme="majorEastAsia" w:hAnsiTheme="majorEastAsia" w:eastAsiaTheme="majorEastAsia"/>
          <w:b/>
          <w:bCs/>
          <w:sz w:val="24"/>
          <w:szCs w:val="24"/>
          <w:lang w:val="en-US" w:eastAsia="zh-CN" w:bidi="ar-SA"/>
        </w:rPr>
        <w:t>39.</w:t>
      </w:r>
      <w:r>
        <w:rPr>
          <w:rFonts w:hint="eastAsia"/>
        </w:rPr>
        <w:t>《中国银监会办公厅关于房屋抵押贷款风险提示的通知》</w:t>
      </w:r>
      <w:bookmarkEnd w:id="210"/>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文号：银监办发〔2010〕55号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各银监局，各政策性银行、国有商业银行、股份制商业银行，中国邮政储蓄银行，银监会直接监管的信托公司、企业集团财务公司、金融租赁公司：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近年来，我国城市现代化建设步伐不断加快。在城市建设过程中，房屋拆迁引发的问题不断出现，对银行业金融机构发放的房屋抵押类贷款造成了一定的风险隐患。一些银行业金融机构在信贷管理中不够审慎规范，进一步加剧了这种风险。为规范银行业金融机构房屋抵押经营行为，加强房屋抵押贷款审慎经营管理，促进房屋抵押贷款业务健康发展，现就有关事项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严把客户准入关，坚持信贷管理的基本原则和标准。银行业金融机构要将目标客户的第一还款来源是否充足作为发放贷款的基本前提条件，从严审核其基本信息、财务状况、信用程度、诚信状况。抵押物等第二还款来源只能作为第一还款来源的补充和风险缓释因素，避免简单依据第二还款来源选择目标客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严格抵押物准入制度，确保第二还款来源的充足、安全、合法、有效。银行业金融机构应加强对拟抵押房屋的审查和评估，根据其价值、使用年限、变现能力等，审慎选择抵押物并合理确定抵押期限和抵押率。严禁接受无合法有效房屋产权证、房屋权属存在纠纷或产权不清晰的房屋作为抵押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落实抵押物持续管理制度，强化对抵押物的动态监控。银行业金融机构应完善抵押物管理办法，针对各类抵押物的性质、特点等，合理设定不同抵押物的监控方式、内容和频率。对于房屋类抵押物，应按照双人实地原则，至少按季对其实物状态、价值变动、权属变化情况进行现场核查和持续跟踪。如遇特殊情况，应当进一步加大现场核查频率，并针对存在的风险漏洞，提出有效的控制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完善抵押权设置的法律手续，通过合同形式防范抵押悬空的风险。银行业金融机构应按照协议承诺的原则，对现有的借款合同文本和抵押合同文本进行修订和完善。一是要求抵押人和借款人明确承诺，在知悉抵押房屋将被拆迁的信息时，应及时向贷款人履行告知义务。如抵押人和借款人未及时履行告知义务的，应当承担由此产生的违约责任。二是约定抵押房屋如被拆迁后的后续事项。对于采用产权调换补偿形式的，抵押人和借款人应与贷款人协商清偿债务，或重新设置抵押并签订新的抵押协议，在原有抵押房地产灭失后而新抵押登记尚未办理之前，应由具备担保条件的担保方提供担保。对于以补偿款方式进行补偿的拆迁房地产，贷款人有权要求抵押人将拆迁补偿款通过开立保证金专户或存单等形式，继续作为抵押财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加强与当地城建部门和房屋管理部门的联系与沟通，增强抵押物管理的前瞻性和主动性。银行业金融机构应高度关注当地城市规划的制定和调整以及近期房屋拆迁情况，主动捕捉并分析整理有价值信息，审慎评估抵押房屋的拆迁可能性、价值波动性、处置可行性等，增强抵押物管理工作的针对性。要有效运用法律手段，切实保护自身的合法权益。银行业协会应当积极发挥桥梁和纽带作用，在银行业金融机构与城建部门和房屋管理部门之间搭建信息沟通平台，探索有效的沟通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行业金融机构在收到本通知后，应根据上述要求，系统梳理本单位各项抵押物管理制度和相关法律文本，全面清理存量房屋抵押贷款和抵押房屋，深入分析其现状和风险隐患，制定有针对性的应对措施。有关情况应及时向监管部门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请各银监局将本通知转发至辖内银监分局及相关银行业金融机构。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中国银行业监督管理委员会办公厅</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二0一0年二月二十日</w:t>
      </w:r>
    </w:p>
    <w:p>
      <w:pPr>
        <w:pStyle w:val="2"/>
        <w:numPr>
          <w:ilvl w:val="0"/>
          <w:numId w:val="0"/>
        </w:numPr>
        <w:ind w:left="922" w:leftChars="0" w:hanging="440" w:firstLineChars="0"/>
      </w:pPr>
      <w:bookmarkStart w:id="211" w:name="_Toc27697"/>
      <w:r>
        <w:rPr>
          <w:rFonts w:cs="宋体" w:asciiTheme="majorEastAsia" w:hAnsiTheme="majorEastAsia" w:eastAsiaTheme="majorEastAsia"/>
          <w:b/>
          <w:bCs/>
          <w:sz w:val="24"/>
          <w:szCs w:val="24"/>
          <w:lang w:val="en-US" w:eastAsia="zh-CN" w:bidi="ar-SA"/>
        </w:rPr>
        <w:t>40.</w:t>
      </w:r>
      <w:r>
        <w:rPr>
          <w:rFonts w:hint="eastAsia"/>
        </w:rPr>
        <w:t>中国银行业监督管理委员会关于《固定资产贷款管理暂行办法》的解释口径</w:t>
      </w:r>
      <w:bookmarkEnd w:id="211"/>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根据会领导有关批示要求，政策法规部牵头各监管部门，成立“三个办法一个指引”实施问题解答小组，准确、及时地解答“三个办法一个指引”贯彻落实过程中的问题，并在专刊不定期刊发。近期，解答小组就《固定资产贷款管理暂行办法》（以下简称“《办法》”）执行中集中反映出的问题，进行统一解答。</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一、关于固定资产贷款的范围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办法》所称固定资产贷款是指用于固定资产投资的贷款。不论贷款人内部如何界定贷款品种，只要贷款用途为固定资产投资，均属固定资产贷款。有关固定资产投资的范围参照国家统计部门《固定资产投资统计报表制度》关于固定资产投资的统计口径，指总投资在50万元及50万元以上的固定资产投资项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二、关于贷款发放的规定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办法》第十五条要求贷款人应与相关当事人签订相关合同，详细规定各方权利义务及违约责任。第十七条要求贷款人应在合同中与借款人约定提款条件，提款条件应包括项目实际进度与已投资额相匹配等。第二十九条规定借款人出现项目进度落后于资金使用进度的，贷款人应依约及时采取有效措施。为此，贷款人应在借款合同中合理约定提款条件，综合考虑固定资产投资项目的规模、技术复杂程度以及项目进度、原材料采购、资金结算等因素，合理判断项目的正常资金需求，科学约定提款进度安排，并要求借款人在提款时提交书面的提款申请以及证明提款申请符合提款条件的材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贷款人应根据《办法》第二十二条的规定，在实际发放贷款之前，通过实地检查等方式，有效监控项目建设情况，确认借款人满足合同约定的提款条件。对于投资额大、技术复杂，按照项目进度分期付款的固定资产投资项目，贷款人一般应要求借款人提供有监理、评估、质检等第三方机构参与签署的确认项目进度和质量的书面文件，包括但不限于借款人、承包商以及第三方机构共同签署的单据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三、关于符合合同约定用途的借款人交易对手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借贷双方应在贷款合同中约定合法、合理、明确、详细的贷款用途，即用于支付与固定资产投资项目相关的商品、服务、资金等交易的款项。借款人在上述商品、服务、资金等交易中的对手方即为《办法》第二十四条中所称的“借款人交易对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四、关于贷款人受托支付的规定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《办法》第二十五条所称“单笔金额”是指支付给借款人某一交易对手单笔款项的金额。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办法》第二十六条要求贷款人应在发放贷款前审核借款人相关交易资料是否符合合同约定条件。为此，贷款人应与借款人在合同中对借款人需提交的交易资料做出约定，具体规定与固定资产投资项目有关的商品、服务、资金等各类交易分别需要提供的交易文件或凭证，以及对于交易文件或凭证的详细要求（如交易文件或凭证记载的交易主体、签名、印章、填写规范）等内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贷款人原则上应在贷款发放当天，将贷款资金通过借款人账户支付给借款人交易对手。确因客观原因在贷款发放当天不能将贷款资金支付给借款人交易对手的，贷款人应在下一工作日完成受托支付。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五、关于借款人自主支付的规定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采用借款人自主支付方式的，借款人在提出提款申请时应同时提供贷款资金使用计划。在贷后管理过程中，贷款人应按照《办法》第二十七条规定，定期核查贷款支付是否符合约定用途。借款人有不按合同约定的用途和金额标准支付贷款资金，或以化整为零方式规避贷款人受托支付等《办法》第二十九条规定情形的，贷款人应按该条规定及时采取补充贷款发放和支付条件、停止贷款资金发放和支付等有效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六、关于专门的贷款发放账户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专门的贷款发放账户是指为监督控制贷款资金而开立的办理贷款资金发放与支付的账户。专门的贷款发放账户并非特指《人民币结算账户管理办法》中的“专用账户”，可以是“一般结算账户”。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七、关于固定资产银团贷款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业金融机构参与固定资产银团贷款也应执行《办法》。银团贷款资金的支付管理与控制由代理行负责。银团贷款合同应对代理行实施支付管理与控制进行明确授权并做出具体要求。代理行应根据《办法》的要求和银团贷款合同的约定，做好贷款资金的支付管理与控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八、关于风险限额管理维度</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《办法》第六条要求贷款人应按区域、行业、贷款品种等维度建立风险限额管理制度，银行业金融机构应根据自身的业务规模、管理需要等因素建立健全风险管理限额制度。</w:t>
      </w:r>
    </w:p>
    <w:p>
      <w:pPr>
        <w:pStyle w:val="2"/>
        <w:numPr>
          <w:ilvl w:val="0"/>
          <w:numId w:val="0"/>
        </w:numPr>
        <w:ind w:left="922" w:leftChars="0" w:hanging="440" w:firstLineChars="0"/>
      </w:pPr>
      <w:bookmarkStart w:id="212" w:name="_Toc14189"/>
      <w:r>
        <w:rPr>
          <w:rFonts w:cs="宋体" w:asciiTheme="majorEastAsia" w:hAnsiTheme="majorEastAsia" w:eastAsiaTheme="majorEastAsia"/>
          <w:b/>
          <w:bCs/>
          <w:sz w:val="24"/>
          <w:szCs w:val="24"/>
          <w:lang w:val="en-US" w:eastAsia="zh-CN" w:bidi="ar-SA"/>
        </w:rPr>
        <w:t>41.</w:t>
      </w:r>
      <w:r>
        <w:rPr>
          <w:rFonts w:hint="eastAsia"/>
        </w:rPr>
        <w:t>《中国银监会关于规范银行业金融机构搭桥贷款业务的通知》</w:t>
      </w:r>
      <w:bookmarkEnd w:id="21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文号：银监发〔2010〕35号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各银监局，各政策性银行、国有商业银行、股份制商业银行，中国邮政储蓄银行：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2009年1月，银监会颁布《关于当前调整部分信贷监管政策促进经济稳健发展的通知》（银监发〔2009〕3号），允许银行业金融机构在一定额度内向非生产性项目发起人或股东发放搭桥贷款。银行业金融机构开展搭桥贷款，对应对国际金融危机的冲击，落实国务院关于“保增长、扩内需、调结构”决策部署，确保经济稳定健康发展，起了积极的支持作用。根据当前我国宏观经济发展形势的要求，结合银行业金融机构搭桥贷款业务开展情况，配合国内产业结构调整政策需要，现就规范银行业金融机构搭桥贷款业务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一、禁止银行业金融机构发放以下性质或用途的搭桥贷款：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（一）银行业金融机构向项目发起人或股东发放的项目资本金搭桥贷款。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（二）银行业金融机构以企业应收财政资金或补助为由，向借款人发放财政性质资金（包括发展改革委安排的中央预算内投资资金）的搭桥贷款。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（三）银行业金融机构为企业发行债券、短期融资券、中期票据、发行股票（含定向增发和私募）以及股权转让等提供搭桥贷款。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二、禁止银行业金融机构在借款人取得项目核准手续前，以提供流动资金贷款、项目前期贷款以及搭桥贷款的名义直接或变相向项目业主、项目发起人以及股东发放贷款用于固定资产项目建设。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三、银行业金融机构应按照专业、理性的原则开展搭桥贷款业务。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（一）搭桥贷款期限不得超过1年，且不得展期。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银行业金融机构应要求申请搭桥贷款的借款人提供足额的抵质押担保，但不得接受借款人以约定的融资协议为搭桥贷款提供质押；已有约定融资义务的银行业金融机构不得向借款人发放搭桥贷款，也不得为借款人向第三方申请搭桥贷款提供担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银行业金融机构应根据本通知要求，尽快对自身信贷管理相关制度进行完善和整改；已经发放的资本金搭桥贷款一律不得视作项目资本金到位，相关银行业金融机构应要求借款人自行补充资本金，并提前收回贷款；尚未发放的资本金搭桥贷款一律不得继续发放。其他性质的搭桥贷款也应按照相关协议，要求借款人尽快落实后续融资，归还搭桥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本通知自印发之日起执行。此前相关规定凡与本通知精神不一致的，一律废止。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请各银监局将本通知转发至辖内各银监分局，各城市商业银行、外资银行（含外国银行分行）、农村商业银行、农村合作银行以及城市信用社、农村信用社等法人机构。</w:t>
      </w:r>
    </w:p>
    <w:p>
      <w:pPr>
        <w:spacing w:after="156" w:afterLines="50" w:line="360" w:lineRule="auto"/>
        <w:ind w:firstLine="482" w:firstLineChars="200"/>
        <w:rPr>
          <w:rFonts w:cs="宋体" w:asciiTheme="majorEastAsia" w:hAnsiTheme="majorEastAsia" w:eastAsiaTheme="majorEastAsia"/>
          <w:b/>
          <w:bCs/>
        </w:rPr>
        <w:sectPr>
          <w:pgSz w:w="11906" w:h="16838"/>
          <w:pgMar w:top="1440" w:right="1800" w:bottom="1440" w:left="1800" w:header="851" w:footer="992" w:gutter="0"/>
          <w:cols w:space="425" w:num="1"/>
          <w:docGrid w:type="lines" w:linePitch="312" w:charSpace="0"/>
        </w:sectPr>
      </w:pPr>
    </w:p>
    <w:p>
      <w:pPr>
        <w:pStyle w:val="2"/>
        <w:numPr>
          <w:ilvl w:val="0"/>
          <w:numId w:val="0"/>
        </w:numPr>
        <w:ind w:left="922" w:leftChars="0" w:hanging="440" w:firstLineChars="0"/>
      </w:pPr>
      <w:bookmarkStart w:id="213" w:name="_Toc32544"/>
      <w:r>
        <w:rPr>
          <w:rFonts w:cs="宋体" w:asciiTheme="majorEastAsia" w:hAnsiTheme="majorEastAsia" w:eastAsiaTheme="majorEastAsia"/>
          <w:b/>
          <w:bCs/>
          <w:sz w:val="24"/>
          <w:szCs w:val="24"/>
          <w:lang w:val="en-US" w:eastAsia="zh-CN" w:bidi="ar-SA"/>
        </w:rPr>
        <w:t>42.</w:t>
      </w:r>
      <w:r>
        <w:rPr>
          <w:rFonts w:hint="eastAsia"/>
        </w:rPr>
        <w:t>《中国银监会关于规范中长期贷款还款方式的通知》</w:t>
      </w:r>
      <w:bookmarkEnd w:id="213"/>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文号：银监发[2010]103号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各银监局，各政策性银行、国有商业银行、股份制商业银行、金融资产管理公司，邮储银行，各省级农村信用联社，银监会直接监管的信托公司、企业集团财务公司、金融租赁公司：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为促进银行业金融机构完善审慎信贷管理制度，做好包括地方政府融资平台贷款在内的中长期贷款风险管理工作，规范中长期贷款还款方式（不含个人贷款），现将有关事项通知如下：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一、规范中长期贷款还款方式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机构要本着风险早期暴露、审慎经营、科学负担三大原则，对包括平台贷款在内的中长期贷款还款方式进行统一规范，不得集中在贷款到期时偿还。各机构要综合考虑项目预期现金流和投资回收期等情况，合理确定还款方式，实行分期偿还，做到半年一次还本付息，鼓励有条件的可按季度进行偿还。对于提前还款部分，各机构应按照实际用款期限，相应折算成同期限的贷款利率计算本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是对于“整贷整还”类中长期贷款的存量部分，各机构要加大贷后管理力度，通过认真的借贷双方协商，修订合同或增加补充条款的方式，实现调整还款方式。对于平台贷款，要作为重点进行清理规范，根据平台自身现金流情况和地方政府财力情况，与地方政府和平台客户协商贷款合同修订工作，调整还款计划，实现平台贷款还款方式和还款期限的转变。对于平台贷款以外的中长期贷款，也要加强管理，确定符合项目现金流情况的还款方式，提早暴露信贷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是对于已签订贷款合同，但未完成放款过程的“整贷整还”类中长期贷款，各机构应利用发放后续贷款前的有利时机，抓紧与客户协商对贷款合同及时补充完善和进一步修订，调整贷款还款方式，避免贷款本金集中到期偿还不科学的问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是对于新增的中长期贷款，各机构要根据项目建设运营周期和项目预期现金流情况，合理确定贷款期限和建设期内宽限期以及本息科学的还款方式，原则上项目技术建成后，每年至少两次偿还本金，利随本清。同时加强贷款资金发放后的管理，有效监控资金流向，适时掌握风险因素变动情况，及早防范化解信贷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二、合理确定中长期贷款期限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机构要科学考量中长期贷款的现金流、行业、项目类别、地区、项目规模等因素，合理确定中长期贷款的建设期、达产期、还贷期和总贷款期限。原则上不得宽容工程延期和超概算行为，更不可利用宽限期变相延长总贷款期限。完善现有项目融资业务、固定资产贷款等内部管理办法，将中长期贷款合同及执行管理作为信贷管理的有机组成部分，加强内部审计和风险控制全覆盖，做到问题早发现、早干预，有效防范信贷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三、完善中长期贷款风险分类制度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各机构要严格执行贷款五级分类制度，并根据中长期贷款对应项目的建设、生产情况，对中长期贷款风险分类情况实施动态调整、实时监控。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一是对于处在建设期的中长期贷款，如果项目逾期末开工，或是超过原定建设期末建成完工的，要充分考虑逾期时间长短对贷款风险产生的影响，对贷款风险分类情况立即进行适当调整。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二是对于完成达产期的中长期贷款，需要对贷款项目的产能规模和经济效益进行评估，如果项目在达产期后仍末达到预期产能规模或是未能实现预期经济效益，也应在原有风险分类的基础上立即进行动态调整。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三是对于已进入还款期的中长期贷款，各机构要严格按照《贷款风险分类指引》（银监发[2007]54号）进行贷款五级分类，科学评估中长期贷款资产质量。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四是各机构要从严审慎把握贷款重组和展期，充分评估重组和展期对贷款质量造成的影响。对于重组类中长期贷款，原为正常类的下调至不良类，原为不良类的更应从严分类，准确把握。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四、健全中长期贷款内部管理制度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各机构要建立健全中长期贷款内部管理制度，按照本通知要求改进完善各类中长期贷款管理办法，对还款方式、贷款期限、风险分类等方面要求加以明确和规范，并经董事会审批后报监管部门备案。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请各银监局将本通知转发至辖内银监分局和有关银行业金融机构。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中国银行业监督管理委员会</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二0一0年十二月三日</w:t>
      </w:r>
    </w:p>
    <w:p>
      <w:pPr>
        <w:pStyle w:val="2"/>
        <w:numPr>
          <w:ilvl w:val="0"/>
          <w:numId w:val="0"/>
        </w:numPr>
        <w:ind w:left="922" w:leftChars="0" w:hanging="440" w:firstLineChars="0"/>
      </w:pPr>
      <w:bookmarkStart w:id="214" w:name="_Toc11390"/>
      <w:r>
        <w:rPr>
          <w:rFonts w:cs="宋体" w:asciiTheme="majorEastAsia" w:hAnsiTheme="majorEastAsia" w:eastAsiaTheme="majorEastAsia"/>
          <w:b/>
          <w:bCs/>
          <w:sz w:val="24"/>
          <w:szCs w:val="24"/>
          <w:lang w:val="en-US" w:eastAsia="zh-CN" w:bidi="ar-SA"/>
        </w:rPr>
        <w:t>43.</w:t>
      </w:r>
      <w:r>
        <w:rPr>
          <w:rFonts w:hint="eastAsia"/>
        </w:rPr>
        <w:t>《中国银监会关于进一步规范银行业金融机构信贷资产转让业务的通知》</w:t>
      </w:r>
      <w:bookmarkEnd w:id="21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文号：银监发〔2010〕102号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为进一步规范银行业金融机构信贷资产转让，促进相关业务规范、有序、健康发展，现就有关事项通知如下: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一、银行业金融机构开展信贷资产转让业务，应当严格遵守国家法律、法规、规章和规范性文件的相关规定，健全并严格执行相应风险管理制度和内部操作规程。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二、本通知所称信贷资产是指确定的、可转让的正常类信贷资产，不良资产的转让与处置不适用本通知规定。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信贷资产的转出方应征得借款人同意方可进行信贷资产的转让，但原先签订的借款合同中另有约定的除外。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三、信贷资产转入方应当做好对拟转入信贷资产的尽职调查，包括但不限于借款方资信状况、经营情况、信贷资产用途的合规性和合法性、担保情况等。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信贷资产转入方应当将拟转入的信贷资产提交授信审批部门进行严格审查、核实，复评贷款风险度，提出审核意见，按规定履行审批手续。</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四、银行业金融机构转让信贷资产应当遵守真实性原则，禁止资产的非真实转移。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转出方不得安排任何显性或隐性的回购条款；转让双方不得采取签订回购协议、即期买断加远期回购等方式规避监管。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五、银行业金融机构转让信贷资产应当遵守整体性原则，即转让的信贷资产应当包括全部未偿还本金及应收利息，不得有下列情形：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（一）将未偿还本金与应收利息分开；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（二）按一定比例分割未偿还本金或应收利息；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（三）将未偿还本金及应收利息整体按比例进行分割；</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（四）将未偿还本金或应收利息进行期限分割。</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业金融机构转让银团贷款的，转出方在进行转让时，应优先整体转让给其他银团贷款成员；如其他银团贷款成员均无意愿接受转让，且对转出方将其转给银团贷款成员之外的银行业金融机构无异议，转出方可将其整体转让给银团贷款成员之外的银行业金融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六、银行业金融机构转让信贷资产应当遵守洁净转让原则，即实现资产的真实、完全转让，风险的真实、完全转移。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信贷资产转入方应当与信贷资产的借款方重新签订协议，确认变更后的债权债务关系。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拟转让的信贷资产有保证人的，转出方在信贷资产转让前，应当征求保证人意见，保证人同意后，可进行转让；如保证人不同意，转出方应和借款人协商，更换保证人或提供新的抵质押物，以实现信贷资产的安全转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拟转让的信贷资产有抵质押物的，应当完成抵质押物变更登记手续或将质物移交占有、交付，确保担保物权有效转移。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银行业金融机构在签订信贷资产转让协议时，应当明确双方权利和义务，转出方应当向转入方提供资产转让业务涉及的法律文件和其他相关资料；转入方应当行使信贷资产的日常贷后管理职责。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信贷资产转出方将信用风险、市场风险和流动性风险等完全转移给转入方后，应当在资产负债表内终止确认该项信贷资产，转入方应当在表内确认该项信贷资产，作为自有资产进行管理；转出方和转入方应当做到衔接一致，相关风险承担在任何时点上均不得落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信贷资产转让后，转出方和转入方的资本充足率、拨备覆盖率、大额集中度、存贷比、风险资产等监管指标的计算应当作出相应调整。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八、银行业金融机构应当严格按照《企业会计准则》关于“金融资产转移”的规定及其他相关规定进行信贷资产转移确认，并做相应的会计核算和账务处理。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九、银行业金融机构应当严格遵守信贷资产转让和银信理财合作业务的各项规定，不得使用理财资金直接购买信贷资产。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银行业金融机构开展信贷资产转让业务，不论是转入还是转出，应按照监管部门的要求及时完成相应信息的报送，并应当在每个季度结束后30个工作日内，向监管机构报送信贷资产转让业务报告。报告应当至少包括以下内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（一）信贷资产转让业务开展的整体情况；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（二）具体的转让笔数，每一笔交易的标的、金额、交易对手方、借款方、担保方或担保物权的情况等；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（三）信贷资产的风险变化情况；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（四）其他需要报告的情况。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银行业金融机构开展信贷资产转让业务未能审慎经营，违反本通知规定的，监管机构可以根据《中华人民共和国银行业监督管理法》的有关规定，责令其暂停信贷资产转让业务，给予相应处罚，并追究相关人员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请各银监局将本通知转发至辖内银监分局和银行业金融机构。</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中国银行业监督管理委员会</w:t>
      </w:r>
    </w:p>
    <w:p>
      <w:pPr>
        <w:pStyle w:val="2"/>
        <w:numPr>
          <w:ilvl w:val="0"/>
          <w:numId w:val="0"/>
        </w:numPr>
        <w:ind w:left="922" w:leftChars="0" w:hanging="440" w:firstLineChars="0"/>
      </w:pPr>
      <w:bookmarkStart w:id="215" w:name="_Toc21744"/>
      <w:r>
        <w:rPr>
          <w:rFonts w:cs="宋体" w:asciiTheme="majorEastAsia" w:hAnsiTheme="majorEastAsia" w:eastAsiaTheme="majorEastAsia"/>
          <w:b/>
          <w:bCs/>
          <w:sz w:val="24"/>
          <w:szCs w:val="24"/>
          <w:lang w:val="en-US" w:eastAsia="zh-CN" w:bidi="ar-SA"/>
        </w:rPr>
        <w:t>44.</w:t>
      </w:r>
      <w:r>
        <w:rPr>
          <w:rFonts w:hint="eastAsia"/>
        </w:rPr>
        <w:t>《中国银监会关于加强融资平台贷款风险管理的指导意见》</w:t>
      </w:r>
      <w:bookmarkEnd w:id="21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文号：银监发〔2010〕110号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各银监局，各政策性银行、国有商业银行、股份制商业银行、金融资产管理公司，邮储银行，各省级农村信用联社，银监会直接监管的信托公司、企业集团财务公司、金融租赁公司：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近年来，银行业金融机构（以下简称金融机构）为支持地方经济发展，比较集中地发放了地方政府融资平台公司（指由地方政府及其部门或机构、所属事业单位等通过财政拨款或注入土地、股权等资产设立，具有政府公益性项目投融资功能，并拥有独立企业法人资格的经济实体）贷款，对加强地方基础设施建设以及应对国际金融危机冲击发挥了积极的作用，但在贷款风险管理上也暴露了一些薄弱环节。为有效防范融资平台公司贷款（含各类授信，以下简称融资平台贷款）风险，根据《国务院关于加强地方政府融资平台公司管理有关问题的通知》（国发〔2010〕19号）的相关要求，现就加强融资平台贷款风险管理提出如下指导意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一、严格落实贷款“三查”制度，审慎发放和管理融资平台贷款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金融机构应严格执行《财政部发展改革委人民银行银监会关于贯彻落实国务院关于加强地方政府融资平台公司管理有关问题的通知相关事项的通知》（财预〔2010〕412号），建立符合国家宏观调控政策和产业政策的融资平台贷款发放和管理制度，统筹考虑融资平台公司整体偿债能力及贷款项目本身偿还贷款本息的能力后发放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金融机构应按照《固定资产贷款管理暂行办法》、《流动资金贷款管理暂行办法》、《项目融资业务指引》等信贷审慎管理规定，结合融资平台贷款的特点，分别对融资平台公司及贷款项目按照贷前调查、贷时审查和贷后检查等环节制定和完善审核标准、操作程序、风险管控措施和内部控制流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金融机构应按照《中国银监会关于规范中长期贷款还款方式的通知》（银监发〔2010〕103号）的要求，合理确定融资平台公司贷款期限，做好与地方政府和平台客户的贷款合同修订工作，按照修订后的贷款合同调整还款计划，进一步规范平台公司还款方式和还款期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金融机构应审慎评估各类担保或抵质押品的合法性、有效性和充分性，以及抵质押品价值和变现比率，跟踪监测抵质押品价值变动，合理估计抵质押品折现价值，及时要求借款主体补充足值的抵质押品。金融机构不得接受地方政府及其所属部门、机构和主要依靠财政拨款的事业单位违规以财政性收入、行政事业等单位国有资产或其他任何直接、间接形式为融资平台贷款提供的担保。担保主体的责任不随融资平台贷款形态的变化而改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金融机构应在清查规范的基础上，尽快建立完善的融资平台贷款台账，健全融资平台贷款统计分析制度，明确借款主体、贷款金额、还款方式及还款来源，详细记录贷款状况，及时反映贷款变化情况，确保贷款信息真实、准确、完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（六）金融机构应按照公司治理和内部控制要求建立融资平台贷款履职评价和问责制度，明确公司治理各主体、内部系统控制各层面的相关职责，对融资平台贷款发生严重风险或重大损失的，追究相关人员责任。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二、准确进行融资平台贷款风险分类，真实反映和评价贷款风险状况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金融机构应按照《贷款风险分类指引》（银监发〔2007〕54号）的规定，科学分析融资平台贷款项目现金流以及借款主体其他还款来源的可靠性，合理评估融资平台公司的整体偿债能力，对融资平台贷款进行准确分类和动态调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贷款项目在同行业中具有较强的竞争优势，项目本身可收回现金流现值大于贷款账面价值，即使经济环境和所在行业整体盈利能力发生不利变化时，借款主体仍能按期偿还全部本息的融资平台贷款，应归为正常类；符合正常类贷款的其他特征，但在经济环境和所在行业整体盈利能力发生不利变化时，借款主体可能无法全额偿还的融资平台贷款，应归为关注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贷款项目自身经营性现金流不足、需主要依靠担保和抵质押品作为还款来源的贷款，如贷款项目自身现金流、担保及抵质押品折现价值合计不足贷款本息120％的融资平台贷款，应至少归为次级类；不足80％的，应至少归为可疑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（十）主要依靠财政性资金偿还的融资平台贷款一旦发生本息逾期，应将该借款人所有同类贷款至少归为次级类；对逾期六个月以上仍不能支付贷款本息的，应将该借款人所有同类贷款至少归为可疑类。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借款人因财务状况恶化或无力还款而进行债务重组的融资平台贷款，应至少归为次级类；债务重组后六个月内不得调高贷款分类档次，六个月后可按照本指导意见重新分类。重组后如借款人财务状况继续恶化，再次发生贷款本息逾期的，应至少归为可疑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（十二）对违反贷款集中度监管要求的融资平台贷款，应至少归为次级类。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三、加强对融资平台贷款的监管，有效缓释和化解融资平台贷款风险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三）金融机构应统筹考虑地方政府债务负担和融资平台贷款本身潜在风险和预期损失，合理计提贷款损失准备，确保贷款损失准备能够覆盖融资平台贷款的潜在损失。金融机构融资平台贷款的拨备覆盖率及贷款拨备率不得低于一般贷款拨备水平。融资平台贷款风险较大，短期内难以提足贷款损失准备的，可按照贷款损失准备缺口分2一3年补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四）金融机构应根据《中国银监会办公厅关于地方政府融资平台贷款清查工作的通知》（银监办发〔2010〕244号）所要求的按现金流覆盖比例划分的全覆盖、基本覆盖、半覆盖和无覆盖平台贷款计算资本充足率贷款风险权重。其中，全覆盖类风险权重为100%；基本覆盖类风险权重为140%；半覆盖类风险权重为250%；无覆盖类风险权重为300％。</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五）银行监管机构应建立健全融资平台贷款专项统计制度，定期评估金融机构融资平台贷款发放和管理情况，对融资平台贷款内部控制、风险管理、履职问责、贷款合同规范化及合规性、贷款集中度、分类准确性以及拨备充足性等开展重点检查，对违反有关规定发放和管理融资平台贷款的行为及时进行纠正和处罚，督促金融机构有效防范融资平台贷款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（十六）银行监管机构应及时提高融资平台贷款发生重大损失或存在严重风险金融机构的拨备及资本监管标准，并依法对相关机构及责任人进行处罚。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（十七）银行监管机构应将金融机构融资平台贷款风险管控情况作为对金融机构监管评级的重要因素。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八）金融机构根据《国务院关于加强地方政府融资平台公司管理有关问题的通知》将清理规范后的融资平台贷款纳入一般公司类贷款管理的贷款，以及金融机构向整合保留后融资平台公司按照商业化原则发放的贷款，不适用本指导意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中国银行业监督管理委员会</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二O一O年十二月十六日</w:t>
      </w:r>
    </w:p>
    <w:p>
      <w:pPr>
        <w:pStyle w:val="2"/>
        <w:numPr>
          <w:ilvl w:val="0"/>
          <w:numId w:val="0"/>
        </w:numPr>
        <w:ind w:left="922" w:leftChars="0" w:hanging="440" w:firstLineChars="0"/>
      </w:pPr>
      <w:bookmarkStart w:id="216" w:name="_Toc20521"/>
      <w:r>
        <w:rPr>
          <w:rFonts w:cs="宋体" w:asciiTheme="majorEastAsia" w:hAnsiTheme="majorEastAsia" w:eastAsiaTheme="majorEastAsia"/>
          <w:b/>
          <w:bCs/>
          <w:sz w:val="24"/>
          <w:szCs w:val="24"/>
          <w:lang w:val="en-US" w:eastAsia="zh-CN" w:bidi="ar-SA"/>
        </w:rPr>
        <w:t>45.</w:t>
      </w:r>
      <w:r>
        <w:rPr>
          <w:rFonts w:hint="eastAsia"/>
        </w:rPr>
        <w:t>《中国银监会关于规范商业银行使用外部信用评级的通知》</w:t>
      </w:r>
      <w:bookmarkEnd w:id="21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文号：银监发〔2011〕10号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各银监局，各政策性银行、国有商业银行、股份制商业银行，邮政储蓄银行：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为进一步规范商业银行使用外部信用评级机构和使用外部信用评级结果，防范商业银行因外部评级调整产生的系统性风险，现将有关事项通知如下：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一、商业银行应当审慎使用外部信用评级，外部信用评级结果不应直接作为商业银行的授信依据。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二、商业银行应当指定专门部门负责在授信业务过程中管理全行的外部信用评级使用情况，确保外部评级机构具有独立性、专业能力和评级公信力。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（一）商业银行在决定使用外部信用评级机构时，应当对其进行下列内容的尽职调查：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１．具有法人资格，在形式和实质上均保持独立性；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２．具有一定规模的实缴注册资本与净资产；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３．拥有足够数量具有资信评级业务经验的评级从业人员；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４．具有健全的组织机构、内部控制机制和管理制度；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５．具有完善的信用信息数据库系统，以及相匹配的营业场所、技术设施；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６．具有健全的业务制度，包括信用等级划分及定义、评级标准、评级程序、评级委员会制度、评级信息披露制度、跟踪评级制度、信息保密制度、评级业务档案管理制度等；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７．具有良好的职业声誉，无重大不良记录；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８．其他需要调查的内容。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（二）商业银行在使用外部评级结果时，应当知悉评级原理并阅读相关披露文件，外部评级结果只能作为内部判断的补充参考。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商业银行应当建立外部评级机构的持续评估机制，至少每两年对评级机构的独立性、专业性与内部控制能力进行一次评估。商业银行应当将认可的外部评级机构的变更情况和评估报告书面报送中国银监会（或其派出机构）及中国银行业协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三、商业银行的重大投资行为原则上应以内部评级为依据。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（一）如果重大投资产品没有内部评级，则该投资产品的信用风险评估必须引用至少两家外部评级机构的评级结果进行比较，选择使用评级较低、违约概率较大的外部评级结果。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（二）重大投资金额下限由商业银行总行依据其内部授权机制确定。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四、商业银行的内部评级体系如果在评级确定方面引用或参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考外部评级结果，应当至少选择两家外部评级机构的评级结果和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违约概率数据进行比较，并选择使用评级较低、违约概率较大的外部评级结果。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五、商业银行应当建立应对本银行外部评级变化的制度和措</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施，评估因外部评级机构业务中断或其他问题导致的可能后果，制订替换外部评级机构的应急计划。</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六、如果商业银行认为外部评级机构对本银行的评级结果有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失公正，则商业银行可向银行业协会申诉，银行业协会应组织对该项评级的流程、方法、依据、结果等进行调查，并公开调查结果。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七、外部评级机构存在下列情况之一的，商业银行不得使用其评级结果：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（一）客户数量、规模与专业评级能力明显不相称的；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（二）受到过刑事处罚或两年以内受到过行政处罚的；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（三）与被评级机构存在关联关系、缺乏评级独立性的。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八、外国银行分行及其他银行业金融机构使用外部信用评级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参照本通知要求执行。</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二０一一年一月二十六日</w:t>
      </w:r>
    </w:p>
    <w:p>
      <w:pPr>
        <w:pStyle w:val="2"/>
        <w:numPr>
          <w:ilvl w:val="0"/>
          <w:numId w:val="0"/>
        </w:numPr>
        <w:ind w:left="922" w:leftChars="0" w:hanging="440" w:firstLineChars="0"/>
      </w:pPr>
      <w:bookmarkStart w:id="217" w:name="_Toc11847"/>
      <w:r>
        <w:rPr>
          <w:rFonts w:cs="宋体" w:asciiTheme="majorEastAsia" w:hAnsiTheme="majorEastAsia" w:eastAsiaTheme="majorEastAsia"/>
          <w:b/>
          <w:bCs/>
          <w:sz w:val="24"/>
          <w:szCs w:val="24"/>
          <w:lang w:val="en-US" w:eastAsia="zh-CN" w:bidi="ar-SA"/>
        </w:rPr>
        <w:t>46.</w:t>
      </w:r>
      <w:r>
        <w:rPr>
          <w:rFonts w:hint="eastAsia"/>
        </w:rPr>
        <w:t>《中国银行业监督管理委员会办公厅关于银行承兑汇票业务案件风险提示的通知》</w:t>
      </w:r>
      <w:bookmarkEnd w:id="21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文号：银监办发〔2011〕206号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各银监局，各政策性银行、国有商业银行、股份制商业银行，邮政储蓄银行：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近期，不法分子利用银行承兑汇票进行欺诈活动及伪造变造银行承兑汇票的案件有明显反弹趋势，山西、江苏、河南、深圳等地相继出现了与银行承兑汇票有关的案件风险。为进一步强化银行承兑汇票业务的管理，防范案件风险，现作如下风险提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一、各银行业金融机构要充分认识并高度重视银行票据业务中存在的风险隐患，强化制度执行，规范操作流程，加强监督检查，落实责任制，审慎经营，切实防范操作风险。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加强对承兑申请人和贴现申请人的资信调查，实现风险关口前移。银行业金融机构要坚决按照“了解你的客户”、“了解你客户的业务”的原则，加强客户授信调查工作，严格审核票据申请人资格、贸易背景的真实性及背书流转过程合理性，严防持票人恶意串通套取银行信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加强对保证金来源真实性、合规性的审核和管理，不得降低业务标准。办理业务过程中，必须确保承兑保证金比例适当且及时足额到位，不得以贷款或贴现资金缴存保证金，不得挪用或提前支取保证金，不得将保证金账户与其他账户串用；保证金未覆盖部分所要求的抵押、质押或第三方保证必须严格落实。</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加强对贴现资金划付和使用情况的管理。银行业金融机构要加强贴现资金使用情况的追踪检查，对与企业经营范围或合同约定不符合的资金流转行为要采取严格的控制措施，严禁贴现资金直接转回出票人账户；杜绝随身携带票据和印章，凭传真和电话指挥划款，事后补办贴现资料和划款凭证的情况，严禁机构异地办理票据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加强票据审验和查询查复环节管理。银行业金融机构要确保票据审验人员的上岗资格和专业能力，严禁以票据查询代替审验，避免出现单人验票情况；规范查询方式和程序，对大额银行承兑汇票必须坚持双人实地查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加强重要空白凭证和业务印章管理。银行业金融机构要加强对重要空白凭证和业务印章的管理，严格执行出入库、领用、登记、交接、作废和销毁制度，坚持印、押、证分管原则，禁止出现“一人多岗”、“审贴不分”的情况，尤其要防范内外勾结、伪造和变造票据、“假作废，真盗用”、“大头小尾”等重大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进一步加强员工管理，提高从业人员专业技能。银行业金融机构要加强对银行承兑汇票业务从业人员的业务培训，全面提高从业人员对银行承兑汇票真伪及贸易背景资料的识别技能；加强员工职业道德素质考核要求，严禁银行员工作为中间人介绍票据贴现业务从事资金掮客活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严肃查处银行承兑汇票业务中的违法违规行为。监管部门要督促银行业金融机构组织力量查处已发票据案件，厘清责任，严肃处理有关责任人员，绝不姑息；对严重违规的机构视情况可停办其票据业务，对管理不力、屡查屡犯的银行业金融机构，除对直接责任人进行严肃处理外，还要追究有关领导的责任。对涉嫌犯罪的，要及时移送司法部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银行承兑汇票业务是违规操作频发乃至诱发大量案件的重点风险领域，银监会曾就此多次做出风险提示，提出监管要求。鉴于目前的风险态势，银监会将结合深化“银行业内控和案防制度执行年”活动，进一步加大对票据业务的监管和检查力度。各银行业金融机构必须切实加大管理力度，做到令行禁止。银监会和各银监局将依据检查结果和案件风险程度，对违规操作行为甚至诱发案件的机构和人员给予严厉处罚和问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请各银监局将本通知转发至辖内银行业金融机构。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中国银行业监督管理委员会办公厅</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二零一一年六月二十四日</w:t>
      </w:r>
    </w:p>
    <w:p>
      <w:pPr>
        <w:pStyle w:val="2"/>
        <w:numPr>
          <w:ilvl w:val="0"/>
          <w:numId w:val="0"/>
        </w:numPr>
        <w:ind w:left="922" w:leftChars="0" w:hanging="440" w:firstLineChars="0"/>
      </w:pPr>
      <w:bookmarkStart w:id="218" w:name="_Toc23613"/>
      <w:r>
        <w:rPr>
          <w:rFonts w:cs="宋体" w:asciiTheme="majorEastAsia" w:hAnsiTheme="majorEastAsia" w:eastAsiaTheme="majorEastAsia"/>
          <w:b/>
          <w:bCs/>
          <w:sz w:val="24"/>
          <w:szCs w:val="24"/>
          <w:lang w:val="en-US" w:eastAsia="zh-CN" w:bidi="ar-SA"/>
        </w:rPr>
        <w:t>47.</w:t>
      </w:r>
      <w:r>
        <w:rPr>
          <w:rFonts w:hint="eastAsia"/>
        </w:rPr>
        <w:t>《中国银监会办公厅关于票据业务风险提示的通知》</w:t>
      </w:r>
      <w:bookmarkEnd w:id="218"/>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文号：银监办发〔2015〕203号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各银监局，各政策性银行、大型银行、股份制银行，邮储银行，外资银行，金融资产管理公司，其他会管金融机构：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按照2015年现场检查计划，各银监局分别对辖内部分银行业金融机构2015年上半年票据业务进行了现场检查。检查发现，相关银行业金融机构在办理票据业务中均不同程度存在不审慎行为。为督促和引导银行业金融机构切实加强票据业务管理，有效防范风险，现就有关风险提示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一、风险提示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票据同业业务专营治理落实不到位。部分银行业金融机构票据同业专营上收不彻底，不同程度存在未实行专营部门集中审批、分支机构办理同业票据业务、会计处理不集中、未对同业票据交易对手实行名单制管理、违规办理商业承兑汇票买入返售业务等问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通过票据转贴现业务转移规模，消减资本占用。部分银行业金融机构利用“卖断＋买入返售＋到期买断”、“假买断、假卖断”、附加回购承诺等交易模式，假卖断真出表，或帮助他行在月底代持，调节信贷规棋；有的利用第三方机构，将票据资产转为资管计划，以投资替代贴现，随意调节会计报表并减少资本计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利用承兑贴现业务虚增存贷款规模。部分银行业金融机构滚动签发银行承兑汇票，以票吸存，虚增资产负债规模；或以贷款、贴现资金做保证金，办理银行承兑汇票，虚增存款。有的还通过人为倒换业务类型，提增中间业务收入，虚增绩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（四）与票据中介联手，违规交易，扰乱市场秩序。部分银行业金融机构与中介合作，离行离柜大量办理无真实贸易背景票据贴现，非法牟利。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（五）贷款与贴现相互腾挪，掩盖信用风险。部分银行业金融机构利用贴现资金还旧借新，调节信贷质量指标；发放贷款偿还垫款，掩盖不良。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（六）创新“票据代理”规避监管要求。部分银行业金融机构通过同业代理转贴现、抽屉协议，隐匿信贷资产规模；委托中介机构办理票据业务，甚至出租、出借账户和印鉴。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部分农村金融机构为他行隐匿、消减信贷规模提供“通道”，违规经营问题突出。在个别股份制银行、城商行主导下，部分农信社、农商行、村镇银行为他行做通道、消规模，违规贴现，大量出具抽屉协议或承诺办理转贴现，不按规定进行会计核算，甚至账外经营，潜藏风险重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二、监管要求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高度重视票据业务风险，认真落实监管要求。银行业金融机构要将“低风险”业务全口径纳入统一授信范围，认真履行尽职调查、审核、审批职责。要全面加强票据业务风险管理，不得办理无真实贸易背景的票据业务。对已办理票据承兑、贴现的发票、单据等凭证，经办行应在原件正面注明承兑（贴现）的银行名称、日期、金额等相关信息，防止虚假交易及发票重复使用。各法人银行业金融机构要切实落实同业专营和治理要求，严格按照业务权限、交易对手准入清单和同业授信额度开展同业票据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强化合规管理，规范票据经营。银行业金融机构要强化内控建设，全面树立合规理念，加强员工行为管控。严禁机构和员工参与各类票据中介和资金掮客活动，严禁携带凭证、印章等到异地办理票据业务。银行业金融机构要严格规范账户特别是异地账户的开立和使用管理，不得出租、出借账户，严禁“倒打款”行为。严防银行票据资金被套取、挪用，违规参与民间借贷或非法集资，甚至成为社会非法金融活动的资金来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完善绩效考核，防止资金空转。银行业金融机构要合理确定业务规模和发展速度，按照业务实质建立完善的绩效考核机制，确保信贷资金有效服务实体经济。防止将票据业务作为调节经营指标和绩效收入的工具，造成银行资金空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加大监管力度，依法查处违规行为。各银监局要进一步加大对票据业务的监督与检查力度，坚决把“三铁三见”要求落实到位，严肃査处各类违法违规行为。对管理不力、屡查屡犯及账外经营等严重违法违规问题，除对直接责任人进行严肃问责外，还要追究上级管理人员责任。涉嫌犯罪的，及时移送司法机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中国银行业监督管理委员会办公厅</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2015年12月31日</w:t>
      </w:r>
    </w:p>
    <w:p>
      <w:pPr>
        <w:pStyle w:val="2"/>
        <w:numPr>
          <w:ilvl w:val="0"/>
          <w:numId w:val="0"/>
        </w:numPr>
        <w:ind w:left="922" w:leftChars="0" w:hanging="440" w:firstLineChars="0"/>
      </w:pPr>
      <w:bookmarkStart w:id="219" w:name="_Toc4695"/>
      <w:r>
        <w:rPr>
          <w:rFonts w:cs="宋体" w:asciiTheme="majorEastAsia" w:hAnsiTheme="majorEastAsia" w:eastAsiaTheme="majorEastAsia"/>
          <w:b/>
          <w:bCs/>
          <w:sz w:val="24"/>
          <w:szCs w:val="24"/>
          <w:lang w:val="en-US" w:eastAsia="zh-CN" w:bidi="ar-SA"/>
        </w:rPr>
        <w:t>48.</w:t>
      </w:r>
      <w:r>
        <w:rPr>
          <w:rFonts w:hint="eastAsia"/>
        </w:rPr>
        <w:t>《银团贷款业务指引（2011修订）》</w:t>
      </w:r>
      <w:bookmarkEnd w:id="219"/>
    </w:p>
    <w:p>
      <w:pPr>
        <w:spacing w:after="156" w:afterLines="50" w:line="360" w:lineRule="auto"/>
        <w:ind w:firstLine="480" w:firstLineChars="200"/>
        <w:outlineLvl w:val="0"/>
        <w:rPr>
          <w:rFonts w:cs="宋体" w:asciiTheme="majorEastAsia" w:hAnsiTheme="majorEastAsia" w:eastAsiaTheme="majorEastAsia"/>
        </w:rPr>
      </w:pPr>
      <w:bookmarkStart w:id="220" w:name="_Toc9542"/>
      <w:r>
        <w:rPr>
          <w:rFonts w:hint="eastAsia" w:cs="宋体" w:asciiTheme="majorEastAsia" w:hAnsiTheme="majorEastAsia" w:eastAsiaTheme="majorEastAsia"/>
        </w:rPr>
        <w:t>发文机构：中国银行业监督管理委员会（已撤销）</w:t>
      </w:r>
      <w:bookmarkEnd w:id="220"/>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文号;银监发[2011]85号</w:t>
      </w:r>
    </w:p>
    <w:p>
      <w:pPr>
        <w:spacing w:after="156" w:afterLines="50" w:line="360" w:lineRule="auto"/>
        <w:ind w:firstLine="482" w:firstLineChars="200"/>
        <w:outlineLvl w:val="0"/>
        <w:rPr>
          <w:rFonts w:cs="宋体" w:asciiTheme="majorEastAsia" w:hAnsiTheme="majorEastAsia" w:eastAsiaTheme="majorEastAsia"/>
          <w:b/>
          <w:bCs/>
        </w:rPr>
      </w:pPr>
      <w:bookmarkStart w:id="221" w:name="_Toc11569"/>
      <w:r>
        <w:rPr>
          <w:rFonts w:hint="eastAsia" w:cs="宋体" w:asciiTheme="majorEastAsia" w:hAnsiTheme="majorEastAsia" w:eastAsiaTheme="majorEastAsia"/>
          <w:b/>
          <w:bCs/>
        </w:rPr>
        <w:t>第一章总则</w:t>
      </w:r>
      <w:bookmarkEnd w:id="221"/>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为促进和规范银团贷款业务，分散授信风险，推动银行同业合作，根据《中华人民共和国银行业监督管理法》、《中华人民共和国商业银行法》等法律法规，制定本指引。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本指引适用于在中国境内依法设立并经营贷款业务的银行业金融机构（以下简称银行）。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银团贷款是指由两家或两家以上银行基于相同贷款条件，依据同一贷款合同，按约定时间和比例，通过代理行向借款人提供的本外币贷款或授信业务。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银行开办银团贷款业务，应当遵守国家有关法律法规，符合国家信贷政策，坚持平等互利、公平协商、诚实履约、风险自担的原则。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银行业协会负责维护银团贷款市场秩序，推进市场标准化建设，推动银团贷款与交易系统平台搭建，协调银团贷款与交易中发生的问题，收集和披露有关银团贷款信息，制定行业公约等行业自律工作。</w:t>
      </w:r>
    </w:p>
    <w:p>
      <w:pPr>
        <w:spacing w:after="156" w:afterLines="50" w:line="360" w:lineRule="auto"/>
        <w:ind w:firstLine="482" w:firstLineChars="200"/>
        <w:outlineLvl w:val="0"/>
        <w:rPr>
          <w:rFonts w:cs="宋体" w:asciiTheme="majorEastAsia" w:hAnsiTheme="majorEastAsia" w:eastAsiaTheme="majorEastAsia"/>
          <w:b/>
          <w:bCs/>
        </w:rPr>
      </w:pPr>
      <w:bookmarkStart w:id="222" w:name="_Toc29177"/>
      <w:r>
        <w:rPr>
          <w:rFonts w:hint="eastAsia" w:cs="宋体" w:asciiTheme="majorEastAsia" w:hAnsiTheme="majorEastAsia" w:eastAsiaTheme="majorEastAsia"/>
          <w:b/>
          <w:bCs/>
        </w:rPr>
        <w:t>第二章银团成员</w:t>
      </w:r>
      <w:bookmarkEnd w:id="22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参与银团贷款的银行均为银团成员。银团成员应按照“信息共享、独立审批、自主决策、风险自担”的原则自主确定各自授信行为，并按实际承担份额享有银团贷款项下相应的权利，履行相应的义务。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按照在银团贷款中的职能和分工，银团成员通常分为牵头行、代理行和参加行等角色，也可根据实际规模与需要在银团内部增设副牵头行、联合牵头行等，并按照银团贷款合同履行相应职责。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银团贷款牵头行是指经借款人同意，负责发起组织银团、分销银团贷款份额的银行。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牵头行主要履行以下职责：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（一）发起和筹组银团贷款，分销银团贷款份额；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（二）对借款人进行贷前尽职调查，草拟银团贷款信息备忘录，并向潜在的参加行推荐；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（三）代表银团与借款人谈判确定银团贷款条件；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（四）代表银团聘请相关中介机构起草银团贷款法律文本；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（五）组织银团成员与借款人签订书面银团贷款合同；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（六）银团贷款合同确定的其他职责。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单家银行担任牵头行时，其承贷份额原则上不得少于银团融资总金额的20%；分销给其他银团成员的份额原则上不得低于50%。</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按照牵头行对贷款最终安排额所承担的责任，银团牵头行分销银团贷款可以分为全额包销、部分包销和尽最大努力推销三种类型。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银团代理行是指银团贷款合同签订后，按相关贷款条件确定的金额和进度归集资金向借款人提供贷款，并接受银团委托按银团贷款合同约定进行银团贷款事务管理和协调活动的银行。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对担保结构比较复杂的银团贷款，可以指定担保代理行，由其负责落实银团贷款的各项担保及抵（质）押物登记、管理等工作。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代理行经银团成员协商确定，可以由牵头行或者其他银行担任。银团代理行应当代表银团利益，借款人的附属机构或关联机构不得担任代理行。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代理行应当依据银团贷款合同的约定履行代理行职责。其主要职责包括：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（一）审查、督促借款人落实贷款条件，提供贷款或办理其他授信业务；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（二）办理银团贷款的担保抵押手续，负责抵（质）押物的日常管理工作；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（三）制定账户管理方案，开立专门账户管理银团贷款资金，对专户资金的变动情况进行逐笔登记；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（四）根据约定用款日期或借款人的用款申请，按照银团贷款合同约定的承贷份额比例，通知银团成员将款项划到指定账户；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（五）划收银团贷款本息和代收相关费用，并按承贷比例和银团贷款合同约定及时划转到银团成员指定账户；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（六）根据银团贷款合同，负责银团贷款资金支付管理、贷后管理和贷款使用情况的监督检查，并定期向银团成员通报；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（七）密切关注借款人财务状况，对贷款期间发生的企业并购、股权分红、对外投资、资产转让、债务重组等影响借款人还款能力的重大事项，在借款人通知后按银团贷款合同约定尽早通知各银团成员；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（八）根据银团贷款合同，在借款人出现违约事项时，及时组织银团成员对违约贷款进行清收、保全、追偿或其他处置；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（九）根据银团贷款合同，负责组织召开银团会议，协调银团成员之间的关系；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（十）接受各银团成员不定期的咨询与核查，办理银团会议委托的其他事项等。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代理行应当勤勉尽责。因代理行行为导致银团利益受损的，银团成员有权根据银团贷款合同约定的方式更换代理行，并要求代理行赔偿相关损失。</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参加行是指接受牵头行邀请，参加银团并按照协商确定的承贷份额向借款人提供贷款的银行。参加行应当按照约定及时足额划拨资金至代理行指定的账户，参加银团会议，做好贷后管理，了解掌握借款人日常经营与信用状况的变化情况，及时向代理行通报借款人的异常情况。</w:t>
      </w:r>
    </w:p>
    <w:p>
      <w:pPr>
        <w:spacing w:after="156" w:afterLines="50" w:line="360" w:lineRule="auto"/>
        <w:ind w:firstLine="482" w:firstLineChars="200"/>
        <w:outlineLvl w:val="0"/>
        <w:rPr>
          <w:rFonts w:cs="宋体" w:asciiTheme="majorEastAsia" w:hAnsiTheme="majorEastAsia" w:eastAsiaTheme="majorEastAsia"/>
          <w:b/>
          <w:bCs/>
        </w:rPr>
      </w:pPr>
      <w:bookmarkStart w:id="223" w:name="_Toc29176"/>
      <w:r>
        <w:rPr>
          <w:rFonts w:hint="eastAsia" w:cs="宋体" w:asciiTheme="majorEastAsia" w:hAnsiTheme="majorEastAsia" w:eastAsiaTheme="majorEastAsia"/>
          <w:b/>
          <w:bCs/>
        </w:rPr>
        <w:t>第三章银团贷款的发起和筹组</w:t>
      </w:r>
      <w:bookmarkEnd w:id="22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有下列情形之一的大额贷款，鼓励采取银团贷款方式：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（一）大型集团客户、大型项目融资和大额流动资金融资；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（二）单一企业或单一项目融资总额超过贷款行资本净额10%的；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（三）单一集团客户授信总额超过贷款行资本净额15%的；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（四）借款人以竞争性谈判选择银行业金融机构进行项目融资的。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各地银行业协会可以根据以上原则，结合本地区实际情况，组织辖内会员银行共同确定银团贷款额度的具体下限。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银团贷款由借款人或银行发起。牵头行应当与借款人谈妥银团贷款的初步条件，并获得借款人签署的银团贷款委任书。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牵头行应当按照授信工作尽职的相关要求，对借款人或贷款项目进行贷前尽职调查，并在此基础上与借款人进行前期谈判，商谈贷款的用途、额度、利率、期限、担保形式、提款条件、还款方式和相关费用等，并据此编制银团贷款信息备忘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银团贷款信息备忘录由牵头行分发给潜在参加行，作为潜在参加行审贷和提出修改建议的重要依据。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团贷款信息备忘录内容主要包括：银团贷款的基本条件、借款人的法律地位及概况、借款人的财务状况、项目概况及市场分析、项目财务现金流量分析、担保人和担保物介绍、风险因素及避险措施、项目的准入审批手续及有资质环保机构出具的环境影响监测评估文件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牵头行在编制银团贷款信息备忘录过程中，应如实向潜在参加行披露其知悉的借款人全部真实信息。牵头行在向其他银行发送银团贷款信息备忘录前，应要求借款人审阅该银团贷款信息备忘录，并由借款人签署“对信息备忘录所载内容的真实性、完整性负责”的声明。必要时，牵头行也可以要求担保人审阅银团贷款信息备忘录并签署上述声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为提高银团贷款信息备忘录等银团贷款资料的独立性、公正性和真实性，牵头行可以聘请外部中介机构如会计师事务所、资产评估事务所、律师事务所及相关技术专家负责评审编写有关信息及资料、出具意见书。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牵头行与借款人协商后，向潜在参加行发出银团贷款邀请函，并随附贷款条件清单、信息备忘录、保密承诺函、贷款承诺函等文件。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收到银团贷款邀请函的银行应按照“信息共享、独立审贷、自主决策、风险自担”的原则，在全面掌握借款人相关信息的基础上做出是否参加银团贷款的决定。银团贷款信息备忘录信息不能满足潜在参加行审批要求的，潜在参加行可要求牵头行补充提供相关信息、提出工作建议或者直接进行调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 牵头行应根据潜在参加行实际反馈情况，合理确定各银团成员的贷款份额。在超额认购或认购不足的情况下，牵头行可按事先约定的条件或与借款人协商后重新确定各银团成员的承贷份额。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 在牵头行有效委任期间，其他未获委任的银行不得与借款人就同一项目进行委任或开展融资谈判。</w:t>
      </w:r>
    </w:p>
    <w:p>
      <w:pPr>
        <w:spacing w:after="156" w:afterLines="50" w:line="360" w:lineRule="auto"/>
        <w:ind w:firstLine="482" w:firstLineChars="200"/>
        <w:outlineLvl w:val="0"/>
        <w:rPr>
          <w:rFonts w:cs="宋体" w:asciiTheme="majorEastAsia" w:hAnsiTheme="majorEastAsia" w:eastAsiaTheme="majorEastAsia"/>
          <w:b/>
          <w:bCs/>
        </w:rPr>
      </w:pPr>
      <w:bookmarkStart w:id="224" w:name="_Toc6950"/>
      <w:r>
        <w:rPr>
          <w:rFonts w:hint="eastAsia" w:cs="宋体" w:asciiTheme="majorEastAsia" w:hAnsiTheme="majorEastAsia" w:eastAsiaTheme="majorEastAsia"/>
          <w:b/>
          <w:bCs/>
        </w:rPr>
        <w:t>第四章银团贷款合同</w:t>
      </w:r>
      <w:bookmarkEnd w:id="22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 银团贷款合同是银团成员与借款人、担保人根据有关法律法规，经过协商后共同签订，主要约定银团成员与借款人、担保人之间权利义务关系的法律文本。银团贷款合同应当包括以下主要条款：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（一）当事人基本情况；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（二）定义及解释；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（三）与贷款有关的约定，包括贷款金额与币种、贷款期限、贷款利率、贷款用途、支付方式、还款方式及还款资金来源、贷款担保组合、贷款展期条件、提前还款约定等；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（四）银团各成员承诺的贷款额度及贷款划拨的时间；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（五）提款先决条件；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（六）费用条款；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（七）税务条款；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（八）财务约束条款；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（九）非财务承诺，包括资产处置限制、业务变更和信息披露等条款；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（十）违约事件及处理；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（十一）适用法律；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（十二）其他约定及附属文件。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 银团成员之间权利义务关系可以在银团贷款合同中约定，也可以另行签订《银团内部协议》（或称为《银团贷款银行间协议》等）加以约定。银团成员间权利义务关系主要包括：银团成员内部分工、权利与义务、银团贷款额度的分配、银团贷款额度的转让；银团会议的议事规则；银团成员的退出和银团解散；违约行为及责任；解决争议的方式；银团成员认为有必要约定的其他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 银团成员应严格按照银团贷款合同的约定，及时足额划付贷款款项，履行合同规定的职责和义务。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 借款人应严格按照银团贷款合同的约定，保证贷款用途，及时向代理行划转贷款本息，如实向银团成员提供有关情况。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 银行开展银团贷款业务可以依据中国银行业协会制定的银团贷款合同示范文本，制定银团贷款合同。</w:t>
      </w:r>
    </w:p>
    <w:p>
      <w:pPr>
        <w:spacing w:after="156" w:afterLines="50" w:line="360" w:lineRule="auto"/>
        <w:ind w:firstLine="482" w:firstLineChars="200"/>
        <w:outlineLvl w:val="0"/>
        <w:rPr>
          <w:rFonts w:cs="宋体" w:asciiTheme="majorEastAsia" w:hAnsiTheme="majorEastAsia" w:eastAsiaTheme="majorEastAsia"/>
          <w:b/>
          <w:bCs/>
        </w:rPr>
      </w:pPr>
      <w:bookmarkStart w:id="225" w:name="_Toc10125"/>
      <w:r>
        <w:rPr>
          <w:rFonts w:hint="eastAsia" w:cs="宋体" w:asciiTheme="majorEastAsia" w:hAnsiTheme="majorEastAsia" w:eastAsiaTheme="majorEastAsia"/>
          <w:b/>
          <w:bCs/>
        </w:rPr>
        <w:t>第五章银团贷款管理</w:t>
      </w:r>
      <w:bookmarkEnd w:id="22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第三十条 银团贷款的日常管理工作主要由代理行负责。代理行应在银团贷款存续期内跟踪了解项目的进展情况，及时发现银团贷款可能出现的问题，并以书面形式尽快通报银团成员。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第三十一条 银团贷款存续期间，银团会议由代理行负责定期召集，或者根据银团贷款合同的约定由一定比例的银团成员提议召开。银团会议的主要职能是讨论、协商银团贷款管理中的重大事项。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第三十二条 银团会议商议的重大事项主要包括：修改银团贷款合同、调整贷款额度、变更担保、变动利率、终止银团贷款、通报企业并购和重大关联交易、认定借款人违约事项、贷款重组和调整代理行等。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第三十三条 银团贷款出现违约风险时，代理行应当根据银团贷款合同的约定，负责及时召集银团会议，并可成立银团债权委员会，对贷款进行清收、保全、重组和处置。必要时可以申请仲裁或向人民法院提起诉讼。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第三十四条 银团贷款存续期间，银团成员原则上不得在银团之外向同一项目提供有损银团其他成员利益的贷款或其他授信。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第三十五条 银团成员在办理银团贷款业务过程中发现借款人有下列行为，经指正不改的，代理行应当根据银团贷款合同的约定，负责召集银团会议，追究其违约责任，并以书面形式通知借款人及其保证人：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（一）所提供的有关文件被证实无效；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（二）未能履行和遵守贷款合同约定的义务；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（三）未能按贷款合同规定支付利息和本金；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（四）以假破产等方式逃废银行债务；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（五）贷款合同约定的其他违约事项。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第三十六条 银团成员在开展银团贷款业务过程中有以下行为，经银团会议审核认定违约的，可以要求其承担违约责任：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（一）银团成员收到代理行按合同规定时间发出的通知后，未按合同约定时限足额划付款项的；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（二）银团成员擅自提前收回贷款或违约退出银团的；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（三）不执行银团会议决议的；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（四）借款人归还银团贷款本息而代理行未如约及时划付银团成员的；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（五）其他违反银团贷款合同、本业务指引以及法律法规的行为。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银团成员之间的上述纠纷，不影响银团与借款人所定贷款合同的执行。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第三十七条 开办银团贷款业务的银行应当定期向当地银行业协会报送银团贷款有关信息。内容包括：银团贷款一级市场的包销量及持有量、二级市场的转让量，银团贷款的利率水平、费率水平、贷款期限、担保条件、借款人信用评级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第三十八条 开办银团贷款业务的银行应当依据本指引，结合自身经营管理水平制定银团贷款业务管理办法，建立与银团贷款业务风险相适应的管理机制，并指定相关部门和专人负责银团贷款的日常管理工作。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第三十九条 银行向大型集团客户发放银团贷款，应当注意防范集团客户内部关联交易及关联方之间相互担保的风险。对集团客户内部关联交易频繁、互相担保严重的，应当加强对其资信的审核，并严格控制贷款发放。</w:t>
      </w:r>
    </w:p>
    <w:p>
      <w:pPr>
        <w:spacing w:after="156" w:afterLines="50" w:line="360" w:lineRule="auto"/>
        <w:ind w:firstLine="482" w:firstLineChars="200"/>
        <w:outlineLvl w:val="0"/>
        <w:rPr>
          <w:rFonts w:cs="宋体" w:asciiTheme="majorEastAsia" w:hAnsiTheme="majorEastAsia" w:eastAsiaTheme="majorEastAsia"/>
          <w:b/>
          <w:bCs/>
        </w:rPr>
      </w:pPr>
      <w:bookmarkStart w:id="226" w:name="_Toc8242"/>
      <w:r>
        <w:rPr>
          <w:rFonts w:hint="eastAsia" w:cs="宋体" w:asciiTheme="majorEastAsia" w:hAnsiTheme="majorEastAsia" w:eastAsiaTheme="majorEastAsia"/>
          <w:b/>
          <w:bCs/>
        </w:rPr>
        <w:t>第六章银团贷款收费</w:t>
      </w:r>
      <w:bookmarkEnd w:id="22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第四十条 银团贷款收费是指银团成员接受借款人委托，为借款人提供银团筹组、包销安排、贷款承诺、银团事务管理等服务而收取的相关中间业务费用，纳入商业银行中间业务收费管理。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银团贷款收费应当按照“自愿协商、公平合理、质价相符”的原则由银团成员和借款人协商确定，并在银团贷款合同或费用函中载明。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第四十一条 银团贷款收费的具体项目可以包括安排费、承诺费、代理费等。银团费用仅限为借款人提供相应服务的银团成员享有。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安排费一般按银团贷款总额的一定比例一次性支付；承诺费一般按未用余额的一定比例每年根据银团贷款合同约定的方式收取；代理费可以根据代理行的工作量按年支付。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第四十二条 银团贷款的收费应当遵循“谁借款、谁付费”的原则，由借款人支付。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第四十三条 牵头行不得向银团成员提出任何不合理条件，不得以免予收费的手段，开展银团贷款业务竞争，不得借筹组银团贷款向银团成员和借款人搭售其他金融产品或收取其他费用。</w:t>
      </w:r>
    </w:p>
    <w:p>
      <w:pPr>
        <w:spacing w:after="156" w:afterLines="50" w:line="360" w:lineRule="auto"/>
        <w:ind w:firstLine="482" w:firstLineChars="200"/>
        <w:outlineLvl w:val="0"/>
        <w:rPr>
          <w:rFonts w:cs="宋体" w:asciiTheme="majorEastAsia" w:hAnsiTheme="majorEastAsia" w:eastAsiaTheme="majorEastAsia"/>
          <w:b/>
          <w:bCs/>
        </w:rPr>
      </w:pPr>
      <w:bookmarkStart w:id="227" w:name="_Toc31651"/>
      <w:r>
        <w:rPr>
          <w:rFonts w:hint="eastAsia" w:cs="宋体" w:asciiTheme="majorEastAsia" w:hAnsiTheme="majorEastAsia" w:eastAsiaTheme="majorEastAsia"/>
          <w:b/>
          <w:bCs/>
        </w:rPr>
        <w:t>第七章银团贷款转让交易</w:t>
      </w:r>
      <w:bookmarkEnd w:id="22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第四十四条 银团贷款转让交易是指银团贷款项下的贷款人作为出让方，将其持有的银团贷款份额转让给作为受让方的其他贷款人或第三方，并由受让方向出让方支付转让价款的交易。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银团贷款转让交易不得违反贷款转让的相关监管规定。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第四十五条 转让交易的定价由交易双方根据转让标的、市场等情况自行协商、自主定价。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第四十六条 转让交易的出让方应当确保与转让标的相关的贷款合同及其他文件已由各方有效签署，其对转让的份额拥有合法的处分权，且转让标的之上不存在包括债务人抵销权在内的任何可能造成转让标的价值减损的其他权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出让方应当为转让交易之目的向受让方充分披露信息，不得提供明知为虚假或具有误导性的信息，不得隐瞒转让标的相关负面信息。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第四十七条 转让交易的受让方应当按照转让合同的约定，受让转让标的并支付转让价款，不得将出让方提供的相关信息用于任何非法目的，或违反保密义务使用该信息。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第四十八条 代理行应当按照银团贷款合同的约定及时履行转让交易相关义务；其他银团成员、担保人等相关各方应当按照银团贷款合同的约定履行相关义务，协助转让交易的顺利进行。</w:t>
      </w:r>
    </w:p>
    <w:p>
      <w:pPr>
        <w:spacing w:after="156" w:afterLines="50" w:line="360" w:lineRule="auto"/>
        <w:ind w:firstLine="482" w:firstLineChars="200"/>
        <w:outlineLvl w:val="0"/>
        <w:rPr>
          <w:rFonts w:cs="宋体" w:asciiTheme="majorEastAsia" w:hAnsiTheme="majorEastAsia" w:eastAsiaTheme="majorEastAsia"/>
          <w:b/>
          <w:bCs/>
        </w:rPr>
      </w:pPr>
      <w:bookmarkStart w:id="228" w:name="_Toc31844"/>
      <w:r>
        <w:rPr>
          <w:rFonts w:hint="eastAsia" w:cs="宋体" w:asciiTheme="majorEastAsia" w:hAnsiTheme="majorEastAsia" w:eastAsiaTheme="majorEastAsia"/>
          <w:b/>
          <w:bCs/>
        </w:rPr>
        <w:t>第八章附则</w:t>
      </w:r>
      <w:bookmarkEnd w:id="228"/>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第四十九条 依法设立的非银行金融机构开办银团贷款业务适用本指引。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第五十条 本指引由银监会负责解释。</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第五十一条 本指引自公布之日起实施。2007年8月11日印发的《银团贷款业务指引》（银监发〔2007〕68号）同时废止。</w:t>
      </w:r>
    </w:p>
    <w:p>
      <w:pPr>
        <w:pStyle w:val="2"/>
        <w:numPr>
          <w:ilvl w:val="0"/>
          <w:numId w:val="0"/>
        </w:numPr>
        <w:ind w:left="922" w:leftChars="0" w:hanging="440" w:firstLineChars="0"/>
      </w:pPr>
      <w:bookmarkStart w:id="229" w:name="_Toc22360"/>
      <w:r>
        <w:rPr>
          <w:rFonts w:cs="宋体" w:asciiTheme="majorEastAsia" w:hAnsiTheme="majorEastAsia" w:eastAsiaTheme="majorEastAsia"/>
          <w:b/>
          <w:bCs/>
          <w:sz w:val="24"/>
          <w:szCs w:val="24"/>
          <w:lang w:val="en-US" w:eastAsia="zh-CN" w:bidi="ar-SA"/>
        </w:rPr>
        <w:t>49.</w:t>
      </w:r>
      <w:r>
        <w:rPr>
          <w:rFonts w:hint="eastAsia"/>
        </w:rPr>
        <w:t>《绿色信贷指引》</w:t>
      </w:r>
      <w:bookmarkEnd w:id="229"/>
    </w:p>
    <w:p>
      <w:pPr>
        <w:spacing w:after="156" w:afterLines="50" w:line="360" w:lineRule="auto"/>
        <w:ind w:firstLine="480" w:firstLineChars="200"/>
        <w:outlineLvl w:val="0"/>
        <w:rPr>
          <w:rFonts w:cs="宋体" w:asciiTheme="majorEastAsia" w:hAnsiTheme="majorEastAsia" w:eastAsiaTheme="majorEastAsia"/>
        </w:rPr>
      </w:pPr>
      <w:bookmarkStart w:id="230" w:name="_Toc11142"/>
      <w:r>
        <w:rPr>
          <w:rFonts w:hint="eastAsia" w:cs="宋体" w:asciiTheme="majorEastAsia" w:hAnsiTheme="majorEastAsia" w:eastAsiaTheme="majorEastAsia"/>
        </w:rPr>
        <w:t>发文机构：中国银行业监督管理委员会（已撤销）</w:t>
      </w:r>
      <w:bookmarkEnd w:id="230"/>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文号：银监发[2012]4号</w:t>
      </w:r>
    </w:p>
    <w:p>
      <w:pPr>
        <w:spacing w:after="156" w:afterLines="50" w:line="360" w:lineRule="auto"/>
        <w:ind w:firstLine="482" w:firstLineChars="200"/>
        <w:outlineLvl w:val="0"/>
        <w:rPr>
          <w:rFonts w:cs="宋体" w:asciiTheme="majorEastAsia" w:hAnsiTheme="majorEastAsia" w:eastAsiaTheme="majorEastAsia"/>
          <w:b/>
          <w:bCs/>
        </w:rPr>
      </w:pPr>
      <w:bookmarkStart w:id="231" w:name="_Toc18894"/>
      <w:r>
        <w:rPr>
          <w:rFonts w:hint="eastAsia" w:cs="宋体" w:asciiTheme="majorEastAsia" w:hAnsiTheme="majorEastAsia" w:eastAsiaTheme="majorEastAsia"/>
          <w:b/>
          <w:bCs/>
        </w:rPr>
        <w:t>第一章总则</w:t>
      </w:r>
      <w:bookmarkEnd w:id="231"/>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为促进银行业金融机构发展绿色信贷，根据《中华人民共和国银行业监督管理法》、《中华人民共和国商业银行法》等法律法规，制定本指引。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本指引所称银行业金融机构，包括在中华人民共和国境内依法设立的政策性银行、商业银行、农村合作银行、农村信用社。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银行业金融机构应当从战略高度推进绿色信贷，加大对绿色经济、低碳经济、循环经济的支持，防范环境和社会风险，提升自身的环境和社会表现，并以此优化信贷结构，提高服务水平，促进发展方式转变。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银行业金融机构应当有效识别、计量、监测、控制信贷业务活动中的环境和社会风险，建立环境和社会风险管理体系，完善相关信贷政策制度和流程管理。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指引所称环境和社会风险是指银行业金融机构的客户及其重要关联方在建设、生产、经营活动中可能给环境和社会带来的危害及相关风险，包括与耗能、污染、土地、健康、安全、移民安置、生态保护、气候变化等有关的环境与社会问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中国银监会依法负责对银行业金融机构的绿色信贷业务及其环境和社会风险管理实施监督管理。</w:t>
      </w:r>
    </w:p>
    <w:p>
      <w:pPr>
        <w:spacing w:after="156" w:afterLines="50" w:line="360" w:lineRule="auto"/>
        <w:ind w:firstLine="482" w:firstLineChars="200"/>
        <w:outlineLvl w:val="0"/>
        <w:rPr>
          <w:rFonts w:cs="宋体" w:asciiTheme="majorEastAsia" w:hAnsiTheme="majorEastAsia" w:eastAsiaTheme="majorEastAsia"/>
          <w:b/>
          <w:bCs/>
        </w:rPr>
      </w:pPr>
      <w:bookmarkStart w:id="232" w:name="_Toc173"/>
      <w:r>
        <w:rPr>
          <w:rFonts w:hint="eastAsia" w:cs="宋体" w:asciiTheme="majorEastAsia" w:hAnsiTheme="majorEastAsia" w:eastAsiaTheme="majorEastAsia"/>
          <w:b/>
          <w:bCs/>
        </w:rPr>
        <w:t>第二章组织管理</w:t>
      </w:r>
      <w:bookmarkEnd w:id="23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银行业金融机构董事会或理事会应当树立并推行节约、环保、可持续发展等绿色信贷理念，重视发挥银行业金融机构在促进经济社会全面、协调、可持续发展中的作用，建立与社会共赢的可持续发展模式。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银行业金融机构董事会或理事会负责确定绿色信贷发展战略，审批高级管理层制定的绿色信贷目标和提交的绿色信贷报告，监督、评估本机构绿色信贷发展战略执行情况。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银行业金融机构高级管理层应当根据董事会或理事会的决定，制定绿色信贷目标，建立机制和流程，明确职责和权限，开展内控检查和考核评价，每年度向董事会或理事会报告绿色信贷发展情况，并及时向监管机构报送相关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银行业金融机构高级管理层应当明确一名高管人员及牵头管理部门，配备相应资源，组织开展并归口管理绿色信贷各项工作。必要时可以设立跨部门的绿色信贷委员会，协调相关工作。</w:t>
      </w:r>
    </w:p>
    <w:p>
      <w:pPr>
        <w:spacing w:after="156" w:afterLines="50" w:line="360" w:lineRule="auto"/>
        <w:ind w:firstLine="482" w:firstLineChars="200"/>
        <w:outlineLvl w:val="0"/>
        <w:rPr>
          <w:rFonts w:cs="宋体" w:asciiTheme="majorEastAsia" w:hAnsiTheme="majorEastAsia" w:eastAsiaTheme="majorEastAsia"/>
          <w:b/>
          <w:bCs/>
        </w:rPr>
      </w:pPr>
      <w:bookmarkStart w:id="233" w:name="_Toc16475"/>
      <w:r>
        <w:rPr>
          <w:rFonts w:hint="eastAsia" w:cs="宋体" w:asciiTheme="majorEastAsia" w:hAnsiTheme="majorEastAsia" w:eastAsiaTheme="majorEastAsia"/>
          <w:b/>
          <w:bCs/>
        </w:rPr>
        <w:t>第三章政策制度及能力建设</w:t>
      </w:r>
      <w:bookmarkEnd w:id="23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银行业金融机构应当根据国家环保法律法规、产业政策、行业准入政策等规定，建立并不断完善环境和社会风险管理的政策、制度和流程，明确绿色信贷的支持方向和重点领域，对国家重点调控的限制类以及有重大环境和社会风险的行业制定专门的授信指引，实行有差别、动态的授信政策，实施风险敞口管理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银行业金融机构应当制定针对客户的环境和社会风险评估标准，对客户的环境和社会风险进行动态评估与分类，相关结果应当作为其评级、信贷准入、管理和退出的重要依据，并在贷款“三查”、贷款定价和经济资本分配等方面采取差别化的风险管理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业金融机构应当对存在重大环境和社会风险的客户实行名单制管理，要求其采取风险缓释措施，包括制定并落实重大风险应对预案，建立充分、有效的利益相关方沟通机制，寻求第三方分担环境和社会风险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银行业金融机构应当建立有利于绿色信贷创新的工作机制，在有效控制风险和商业可持续的前提下，推动绿色信贷流程、产品和服务创新。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银行业金融机构应当重视自身的环境和社会表现，建立相关制度，加强绿色信贷理念宣传教育，规范经营行为，推行绿色办公，提高集约化管理水平。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银行业金融机构应当加强绿色信贷能力建设，建立健全绿色信贷标识和统计制度，完善相关信贷管理系统，加强绿色信贷培训，培养和引进相关专业人才。必要时可以借助合格、独立的第三方对环境和社会风险进行评审或通过其他有效的服务外包方式，获得相关专业服务。</w:t>
      </w:r>
    </w:p>
    <w:p>
      <w:pPr>
        <w:spacing w:after="156" w:afterLines="50" w:line="360" w:lineRule="auto"/>
        <w:ind w:firstLine="482" w:firstLineChars="200"/>
        <w:outlineLvl w:val="0"/>
        <w:rPr>
          <w:rFonts w:cs="宋体" w:asciiTheme="majorEastAsia" w:hAnsiTheme="majorEastAsia" w:eastAsiaTheme="majorEastAsia"/>
          <w:b/>
          <w:bCs/>
        </w:rPr>
      </w:pPr>
      <w:bookmarkStart w:id="234" w:name="_Toc18468"/>
      <w:r>
        <w:rPr>
          <w:rFonts w:hint="eastAsia" w:cs="宋体" w:asciiTheme="majorEastAsia" w:hAnsiTheme="majorEastAsia" w:eastAsiaTheme="majorEastAsia"/>
          <w:b/>
          <w:bCs/>
        </w:rPr>
        <w:t>第四章流程管理</w:t>
      </w:r>
      <w:bookmarkEnd w:id="23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银行业金融机构应当加强授信尽职调查，根据客户及其项目所处行业、区域特点，明确环境和社会风险尽职调查的内容，确保调查全面、深入、细致。必要时可以寻求合格、独立的第三方和相关主管部门的支持。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银行业金融机构应当对拟授信客户进行严格的合规审查，针对不同行业的客户特点，制定环境和社会方面的合规文件清单和合规风险审查清单，确保客户提交的文件和相关手续的合规性、有效性和完整性，确信客户对相关风险点有足够的重视和有效的动态控制，符合实质合规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银行业金融机构应当加强授信审批管理，根据客户面临的环境和社会风险的性质和严重程度，确定合理的授信权限和审批流程。对环境和社会表现不合规的客户，应当不予授信。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银行业金融机构应当通过完善合同条款督促客户加强环境和社会风险管理。对涉及重大环境和社会风险的客户，在合同中应当要求客户提交环境和社会风险报告，订立客户加强环境和社会风险管理的声明和保证条款，设定客户接受贷款人监督等承诺条款，以及客户在管理环境和社会风险方面违约时银行业金融机构的救济条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银行业金融机构应当加强信贷资金拨付管理，将客户对环境和社会风险的管理状况作为决定信贷资金拨付的重要依据。在已授信项目的设计、准备、施工、竣工、运营、关停等各环节，均应当设置环境和社会风险评估关卡，对出现重大风险隐患的，可以中止直至终止信贷资金拨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银行业金融机构应当加强贷后管理，对有潜在重大环境和社会风险的客户，制定并实行有针对性的贷后管理措施。密切关注国家政策对客户经营状况的影响，加强动态分析，并在资产风险分类、准备计提、损失核销等方面及时做出调整。建立健全客户重大环境和社会风险的内部报告制度和责任追究制度。在客户发生重大环境和社会风险事件时，应当及时采取相关的风险处置措施，并就该事件可能对银行业金融机构造成的影响向监管机构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银行业金融机构应当加强对拟授信的境外项目的环境和社会风险管理，确保项目发起人遵守项目所在国家或地区有关环保、土地、健康、安全等相关法律法规。对拟授信的境外项目公开承诺采用相关国际惯例或国际准则，确保对拟授信项目的操作与国际良好做法在实质上保持一致。</w:t>
      </w:r>
    </w:p>
    <w:p>
      <w:pPr>
        <w:spacing w:after="156" w:afterLines="50" w:line="360" w:lineRule="auto"/>
        <w:ind w:firstLine="482" w:firstLineChars="200"/>
        <w:outlineLvl w:val="0"/>
        <w:rPr>
          <w:rFonts w:cs="宋体" w:asciiTheme="majorEastAsia" w:hAnsiTheme="majorEastAsia" w:eastAsiaTheme="majorEastAsia"/>
          <w:b/>
          <w:bCs/>
        </w:rPr>
      </w:pPr>
      <w:bookmarkStart w:id="235" w:name="_Toc16698"/>
      <w:r>
        <w:rPr>
          <w:rFonts w:hint="eastAsia" w:cs="宋体" w:asciiTheme="majorEastAsia" w:hAnsiTheme="majorEastAsia" w:eastAsiaTheme="majorEastAsia"/>
          <w:b/>
          <w:bCs/>
        </w:rPr>
        <w:t>第五章内控管理与信息披露</w:t>
      </w:r>
      <w:bookmarkEnd w:id="23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银行业金融机构应当将绿色信贷执行情况纳入内控合规检查范围，定期组织实施绿色信贷内部审计。检查发现重大问题的，应当依据规定进行问责。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 银行业金融机构应当建立有效的绿色信贷考核评价体系和奖惩机制，落实激励约束措施，确保绿色信贷持续有效开展。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 银行业金融机构应当公开绿色信贷战略和政策，充分披露绿色信贷发展情况。对涉及重大环境与社会风险影响的授信情况，应当依据法律法规披露相关信息，接受市场和利益相关方的监督。必要时可以聘请合格、独立的第三方，对银行业金融机构履行环境和社会责任的活动进行评估或审计。</w:t>
      </w:r>
    </w:p>
    <w:p>
      <w:pPr>
        <w:spacing w:after="156" w:afterLines="50" w:line="360" w:lineRule="auto"/>
        <w:ind w:firstLine="482" w:firstLineChars="200"/>
        <w:outlineLvl w:val="0"/>
        <w:rPr>
          <w:rFonts w:cs="宋体" w:asciiTheme="majorEastAsia" w:hAnsiTheme="majorEastAsia" w:eastAsiaTheme="majorEastAsia"/>
          <w:b/>
          <w:bCs/>
        </w:rPr>
      </w:pPr>
      <w:bookmarkStart w:id="236" w:name="_Toc13777"/>
      <w:r>
        <w:rPr>
          <w:rFonts w:hint="eastAsia" w:cs="宋体" w:asciiTheme="majorEastAsia" w:hAnsiTheme="majorEastAsia" w:eastAsiaTheme="majorEastAsia"/>
          <w:b/>
          <w:bCs/>
        </w:rPr>
        <w:t>第六章监督检查</w:t>
      </w:r>
      <w:bookmarkEnd w:id="23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 各级银行业监管机构应当加强与相关主管部门的协调配合，建立健全信息共享机制，完善信息服务，向银行业金融机构提示相关环境和社会风险。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 各级银行业监管机构应当加强非现场监管，完善非现场监管指标体系，强化对银行业金融机构面临的环境和社会风险的监测分析，及时引导其加强风险管理，调整信贷投向。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银行业金融机构应当根据本指引要求，至少每两年开展一次绿色信贷的全面评估工作，并向银行业监管机构报送自我评估报告。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 银行业监管机构组织开展现场检查，应当充分考虑银行业金融机构面临的环境和社会风险，明确相关检查内容和要求。对环境和社会风险突出的地区或银行业金融机构，应当开展专项检查，并根据检查结果督促其整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 银行业监管机构应当加强对银行业金融机构绿色信贷自我评估的指导，并结合非现场监管和现场检查情况，全面评估银行业金融机构的绿色信贷成效，按照相关法律法规将评估结果作为银行业金融机构监管评级、机构准入、业务准入、高管人员履职评价的重要依据。</w:t>
      </w:r>
    </w:p>
    <w:p>
      <w:pPr>
        <w:spacing w:after="156" w:afterLines="50" w:line="360" w:lineRule="auto"/>
        <w:ind w:firstLine="482" w:firstLineChars="200"/>
        <w:outlineLvl w:val="0"/>
        <w:rPr>
          <w:rFonts w:cs="宋体" w:asciiTheme="majorEastAsia" w:hAnsiTheme="majorEastAsia" w:eastAsiaTheme="majorEastAsia"/>
          <w:b/>
          <w:bCs/>
        </w:rPr>
      </w:pPr>
      <w:bookmarkStart w:id="237" w:name="_Toc17653"/>
      <w:r>
        <w:rPr>
          <w:rFonts w:hint="eastAsia" w:cs="宋体" w:asciiTheme="majorEastAsia" w:hAnsiTheme="majorEastAsia" w:eastAsiaTheme="majorEastAsia"/>
          <w:b/>
          <w:bCs/>
        </w:rPr>
        <w:t>第七章附则</w:t>
      </w:r>
      <w:bookmarkEnd w:id="23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 本指引自公布之日起施行。村镇银行、贷款公司、农村资金互助社、非银行金融机构参照本指引执行。</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第三十条 本指引由中国银监会负责解释。</w:t>
      </w:r>
    </w:p>
    <w:p>
      <w:pPr>
        <w:pStyle w:val="2"/>
        <w:numPr>
          <w:ilvl w:val="0"/>
          <w:numId w:val="0"/>
        </w:numPr>
        <w:ind w:left="922" w:leftChars="0" w:hanging="440" w:firstLineChars="0"/>
      </w:pPr>
      <w:bookmarkStart w:id="238" w:name="_Toc27524"/>
      <w:r>
        <w:rPr>
          <w:rFonts w:cs="宋体" w:asciiTheme="majorEastAsia" w:hAnsiTheme="majorEastAsia" w:eastAsiaTheme="majorEastAsia"/>
          <w:b/>
          <w:bCs/>
          <w:sz w:val="24"/>
          <w:szCs w:val="24"/>
          <w:lang w:val="en-US" w:eastAsia="zh-CN" w:bidi="ar-SA"/>
        </w:rPr>
        <w:t>50.</w:t>
      </w:r>
      <w:r>
        <w:rPr>
          <w:rFonts w:hint="eastAsia"/>
        </w:rPr>
        <w:t>《中国银监会办公厅关于加强银行承兑汇票业务监管的通知》</w:t>
      </w:r>
      <w:bookmarkEnd w:id="238"/>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文号：银监办发〔2012〕286号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各银监局，各政策性银行、国有商业银行、股份制商业银行，邮政储蓄银行，各省级农村信用联社：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近年来，银行承兑汇票业务快速增长，票据业务风险隐患逐渐积累，票据相关案件时有发生。为加强银行承兑汇票业务监管，现就有关问题通知如下：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银行业金融机构要高度重视银行承兑汇票业务风险，认真落实有关监管要求。要加强客户授信调查，严格审查票据申请人资格、贸易背景真实性及背书流转过程合理性。要加强票据业务保证金、贴现资金划付和使用、查验和查询查复、重要空白凭证和业务印章等关键环节的管理。要完善业务流程，强化制度执行，切实防范票据业务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二、银行业金融机构要推动银行承兑汇票业务的审慎发展。要根据自身发展战略、客户结构、风险管理水平和内控能力，合理确定业务规模和发展速度。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三、银行业金融机构要加强银行承兑汇票业务统一授信管理。要科学核定客户票据业务授信规模，防止签发超过企业授信限额的票据，防范各种“倒票”违规行为。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四、银行业金融机构要加强银行承兑汇票业务统一授权管理。原则上支行或一线经营单位仅负责票据承兑和直贴业务，转贴现、买入返售、卖出回购等业务由总行或经授权的分行专门部门负责办理。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银行业金融机构要完善银行承兑汇票监测和查库制度，加强票据集中保管。已贴现票据、质押票据应作为重要会计凭证入库，由总行或经授权的分行专门部门集中保管，支行或一线经营单位不得自行保管。已贴现票据必须完成贴现企业向银行的背书，防止银行合法权利悬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银行业金融机构要加强银行承兑汇票业务保证金统一管理。保证金账户原则上应开立在总行或经授权的分行；对于在票据承兑申请人开户行开立保证金账户的，应通过系统控制、定期对账等措施防范保证金挪用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银行业金融机构要加强银行承兑汇票业务交易资金账户统一管理。票据转贴现、买入返售、卖出回购资金应由票据转入行将资金划入票据转出行在中国人民银行开立的存款准备金账户，或票据转出行在本行开立的一般存款账户，不得转入票据转出行在他行开立的账户，防止随意开户和资金体外循环。应明确专门部门负责交易资金账户的监测和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银行业金融机构要加强银行承兑汇票查询查复管理。票据承兑行要按有关部门规定，在电子商业汇票系统进行及时登记，以便他行查询；要完善查询台账制度，如遇法院冻结止付等影响票据权利的事件发生，应在收到法院通知两个工作日内依托中国人民银行大额支付系统或其他适当方式通知票据查询行。票据查询行如已将票据转出，应通过适当方式通知交易对手，确保持票行及时主张合法权利。法律法规另有规定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银行业金融机构要完善考核方式，降低票据业务余额等规模指标考核权重，提高票据业务合规性、操作风险防控等指标权重。要加强员工管理，不断提高员工票据业务能力和合规意识，严禁员工参与各种票据中介和资金掮客活动。要加强票据业务审计，开展票据业务制度、流程及执行有效性的审计评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各级监管部门要严肃查处银行承兑汇票业务中的违法违规行为，视情况采取暂停市场准入、暂停票据业务等监管措施。对管理不力、屡查屡犯的，除对直接责任人进行严肃问责外，还要追究有关领导责任。涉嫌犯罪的，及时移送司法机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中国银行业监督管理委员会办公厅</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2012年10月8日</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p>
    <w:p>
      <w:pPr>
        <w:pStyle w:val="2"/>
        <w:numPr>
          <w:ilvl w:val="0"/>
          <w:numId w:val="0"/>
        </w:numPr>
        <w:ind w:left="922" w:leftChars="0" w:hanging="440" w:firstLineChars="0"/>
      </w:pPr>
      <w:bookmarkStart w:id="239" w:name="_Toc27604"/>
      <w:r>
        <w:rPr>
          <w:rFonts w:cs="宋体" w:asciiTheme="majorEastAsia" w:hAnsiTheme="majorEastAsia" w:eastAsiaTheme="majorEastAsia"/>
          <w:b/>
          <w:bCs/>
          <w:sz w:val="24"/>
          <w:szCs w:val="24"/>
          <w:lang w:val="en-US" w:eastAsia="zh-CN" w:bidi="ar-SA"/>
        </w:rPr>
        <w:t>51.</w:t>
      </w:r>
      <w:r>
        <w:rPr>
          <w:rFonts w:hint="eastAsia"/>
        </w:rPr>
        <w:t>《关于商业银行知识产权质押贷款业务的指导意见》</w:t>
      </w:r>
      <w:bookmarkEnd w:id="239"/>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发文机构：中国银行业监督管理委员会(已撤销)，国家知识产权局，国家工商行政管理总局(已撤销) ，国家版权局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文号：银监发〔2013〕6号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各省（自治区、直辖市）知识产权局、工商行政管理局、版权局，各政策性银行、国有商业银行、股份制商业银行、金融资产管理公司，邮政储蓄银行，各省级农村信用联社，银监会直接监管的信托公司、企业集团财务公司、金融租赁公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为支持企业创新，充分利用知识产权的融资担保价值，引导和规范商业银行开展知识产权质押贷款业务，结合实际，现提出如下指导意见。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一、充分发挥知识产权质押融资的积极作用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商业银行可以接受境内个人、企业或其他组织以本人或他人合法拥有的、依法可以转让的注册商标专用权、专利权、著作权等知识产权中的财产权做质押，按照国家法律法规和相关信贷政策发放贷款或提供其他授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商业银行要充分利用各级政府制定的知识产权质押贷款业务促进政策，根据知识产权质押贷款的业务特点，完善业务流程，加强风险管理，积极开展知识产权质押贷款业务。条件成熟的，可以将知识产权质押贷款作为专门的贷款产品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(三）商业银行要结合国家有关支持中小企业发展的信贷政策，建立适合中小企业知识产权质押贷款特点的风险评估、审批授权、尽职调查和激励约束机制。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(四）商业银行及相关中介机构可建立知识产权质押贷款专家咨询制度，听取政府相关部门或相关行业专家对知识产权质押贷款审查、评估、处置变现等方面的咨询意见，提高知识产权质押贷款业务水平。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(五）银行业监督管理机构和知识产权行政管理部门要完善法规政策，建立和完善协调机制，不断改进服务，提供指导，从各方面促进知识产权质押贷款业务的开展。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二、认真调查知识产权质押标的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(六）商业银行要认真按照规定进行贷前尽职调查，针对知识产权的特点确定质物调查的重点，并严格进行贷款担保审查。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(七）商业银行要明确可接受作为质物的不同种类知识产权的具体标准。整体上，用于质押的知识产权应当合法、完整、有效且权属清晰，依法可转让，且不违反国家保密法规和国有资产管理规定。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用于质押的知识产权需获得权属证书的，要由国家相关机构依法正式授予知识产权权属证书；不需获得权属证书的，要提供由商业银行认可的相关权属证明材料。存在共同知识产权人的，应当已取得共同知识产权人的同意。属于被许可权人出质的，应当已取得原知识产权人或授权人的同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(九）用于质押的知识产权剩余有效期或保护期要长于贷款期限，专利和著作权的剩余有效期或保护期一般不少于5年。出质人要承诺按时缴纳年费等相关费用，并及时办理相关权利续展手续。</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商业银行还要重点关注质物对出质人的重要性，质物所属行业的发展情况、国家行业政策的发展趋势、相关市场的技术发展水平，包括与质物具有竞争性或替代性的同类产品的发展情况等外部因素，以及在不造成债权损失的前提下及时处置质物的时效性、可行性。另外，鉴于出质人的综合实力对知识产权市场价值的影响，商业银行也要重点关注借款人的管理架构、行业经验、业内声誉和生产经营业绩等整体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三、合理确定知识产权质押贷款条件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商业银行在选择用作知识产权质押贷款的质物时，要从该项知识产杈的合法性、有效性、完整性、权属清晰性、经济价值、市场交易可行性等方面作出综合评估。必要时，可听取中介机构、外部专家等提供的专业意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商业银行要根据尽职调查掌握的借款人、出质人和出质知识产权的情况决定釆用知识产权单一担保或组合担保。组合担保方式下，由第三人为借款人提供保证的，商业银行可优先接受与借款人所属知识产权相关的同业联盟或同业协会的成员作为保证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三）商业银行决定知识产权质押贷款期限时，要考虑各类知识产权的有效期限及其价值变动规律，以短期贷款为主。贷款期限较长的，商业银行在贷款期间要加强对出质知识产权价值变化的跟踪监测，必要时可依合同约定要求借款人提前还款或提供其他形式的补充担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四）商业银行要根据出质知识产权的经济价值、出质人的经营管理能力、知识产权的流通性、价值稳定性、是否组合担保等因素，并结合借款人的资信状况，审慎确定知识产权的最高质押率。对不同类型的知识产权可以采用差异化的质押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(十五）商业银行应当要求出质人对知识产权的转让或许可使用事项作出承诺，确保出质人遵守相关法律规定，不擅自转让或许可使用该知识产权而使质权受损或落空。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四、建立和健全知识产权质押评估管理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六）商业银行要建立和完善知识产杈质押评估管理制度，审慎评估知识产权质押风险，定期或不定期地动态评估质物的质量。商业银行可以委托专业评估机构对出质知识产权进行评估，也可以自行评估。委托外部机构评估的，要建立评估价值复核认定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七）商业银行、出质人或借款人委托的知识产权评估机构、律师事务所等中介机构要具有政府相关部门颁发的从业资格，拥有从事知识产权专业工作的丰富经验和一定数量的合格专业人员，并且与委托事项不存在利益冲突，具有良好的诚信和守法记录，主要负责人或合伙人执业声誉良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八）商业银行、出质人或借款人可以委托一家或多家知识产权评估机构完成知识产权评估工作。商业银行委托评估的，要与评估机构签订委托合同，并在委托合同中规定具体的评估事项，明确评估报告作为授信审批依据的有效期限以及虚假评估的责任承担，要求评估人对评估结果的客观真实性做出承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九）知识产权评估要严格遵守相关的法律法规和行业准则，坚持独立、客观、公正的原则。中介机构出具的知识产权评估价值与市场交易价格之间有明显差异，或商业银行认为不合理的，商业银行应当要求中介机构说明理由，或重新聘请中介机构进行评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五、完善知识产权质押合同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商业银行要与出质人签订书面质押合同，明确出质知识产权的名称、内容、保护期、权属状况及其证明、质押担保范围、质权登记安排、出质人义务、质权实现方式，以及质押期间知识产权转让、许可他人使用、被撤销或被宣告无效时的处理等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一）质押合同要明确出质人维护知识产权杈利完整性的义务，包括提供出质知识产权的证书等有关文件、资料，并保证所提供的信息真实、准确、完整、有效；切实维护出质知识产权有效性，未经质权人同意，不得声明放弃已出质的知识产权；积极排除他人对出质知识产权的侵害，对于因侵害获得的赔偿金，优先用于清偿质权担保项下的债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二）质押合同还要明确出质人维护质权人质权有效性的义务，包括未经质权人同意，不得转让或许可他人使用；转让或者许可他人使用出质的知识产权所得价款，优先用于清偿对质权人的债务；发生影响出质知识产权权属有效性、经济价值等重大事件的，及时告知质权人并积极应对；专利权存在被强制实施许可可能的，及时并充分实施其专利；专利权被强制实施许可的，明确许可使用费用于提前清偿债务或者予以提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三）以专利权出质的，商业银行可以要求出质人承诺将将来改进专利一并质押；以注册商标专用权出质的，商业银行应要求出质人将在相同或者类似商品、服务上注册的相同或近似商标一并质押；以著作权出质的，商业银行可以要求出质人将其拥有或将来拥有的该著作权改编作品的著作权一并质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六、切实办理知识产权质权登记，改进登记制度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(二十四）商业银行发放知识产权质押贷款必须办理质权登记，确保商业银行为优先受偿人。商业银行要按照知识产权登记管理要求配合出质人办理质权登记手续，或要求出质人配合办理质权登记手续。</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(二十五）知识产权行政管理部门要完善各类知识产权的登记和查询制度，根据实际需要进行修订，简化登记流程，逐步建立和完善统一的电子化知识产权登记系统和查询系统。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七、加强知识产权质押贷款贷后管理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(二十六）商业银行要建立健全知识产权质押贷款贷后风险管理制度，确保借款人按约定的贷款用途使用贷款资金，严密监控借款人的经营管理状况，持续评估借款人的还款能力。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七）在贷款存续期内，商业银行要对出质知识产权的权属关系、有效性、相关维护费用缴纳情况、经济价值变化等因素进行重点监控，持续了解出质知识产权的使用情况。必要时，可由认可的中介机构对影响质物价值的重要因素定期进行调查和通报，并出具动态评估报告。质物的再次评估价值已不能满足商业银行规定的质押率的，应当要求借款人追加其他担保或依合同约定要求提前还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(二十八）质押合同主体、质物等实质性内容需变更的，当事人要按照相关规定和合同约定尽快持变更协议及相关资料到质权登记部门办理变更登记。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(二十九）贷款需要重组的，商业银行要对质物进行重新审查，必要时重新进行评估。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十）贷款合同约定的还款期限届满，借款人到期未履行还款义务或者发生当事人约定的实现质权的情形，商业银行可以通过协议折价、拍卖、变卖、许可使用等方式实现质权，并依合同约定从所得价款中优先受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 、优化知识产权质押贷款业务政策环境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(三十一）银行业监督管理机构要鼓励商业银行在商业可持续原则下积极开展中小企业知识产权质押贷款业务，并对业务开展良好的商业银行按相关规定实行监管激励。</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十二）银行业监督管理机构和知识产权行政管理部门要建立协商沟通机制，搭建业务交流和信息共享平台，与地方政府相关部门、相关行业协会等共同建立联合工作机制，促进知识产权质押贷款业务健康发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十三）知识产权行政管理部门要联合相关部门共同加强知识产权质押评估技术的规范化，提升资产评估机构及有关从业人员的专业化水平，促进知识产权评估标准的制定，规范知识产权评估机构的行为，完善知识产权质押贷款服务平台建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(三十四）知识产权行政管理部门要积极构建知识产权交易市场，研究制定统一的知识产权交易规则，提供知识产权交易信息发布平台，促进知识产权流转。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(三十五）知识产权行政管理部门要联合其他相关部门为知识产杈质押贷款业务的发展创造良好的市场环境，协助商业银行逐步建立知识产权质押融资信用体系。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商业银行以外的银行业金融机构以及经银监会批准设立的其他金融机构（以下统称银行业金融机构）开展知识产权质押贷款业务，参照适用本指导意见。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请各银监局联合当地知识产权局、工商行政管理局、版权局将本意见联合转发至辖内银监分局、知识产杈局、工商行政管理局、版权局及银行业金融机构，并协调做好本意见的贯彻实施工作。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中国银监会国家知识产权局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国家工商行政管理总局国家版权局</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2013年1月31日</w:t>
      </w:r>
    </w:p>
    <w:p>
      <w:pPr>
        <w:pStyle w:val="2"/>
        <w:numPr>
          <w:ilvl w:val="0"/>
          <w:numId w:val="0"/>
        </w:numPr>
        <w:ind w:left="922" w:leftChars="0" w:hanging="440" w:firstLineChars="0"/>
      </w:pPr>
      <w:bookmarkStart w:id="240" w:name="_Toc32537"/>
      <w:r>
        <w:rPr>
          <w:rFonts w:cs="宋体" w:asciiTheme="majorEastAsia" w:hAnsiTheme="majorEastAsia" w:eastAsiaTheme="majorEastAsia"/>
          <w:b/>
          <w:bCs/>
          <w:sz w:val="24"/>
          <w:szCs w:val="24"/>
          <w:lang w:val="en-US" w:eastAsia="zh-CN" w:bidi="ar-SA"/>
        </w:rPr>
        <w:t>52.</w:t>
      </w:r>
      <w:r>
        <w:rPr>
          <w:rFonts w:hint="eastAsia"/>
        </w:rPr>
        <w:t>《中国银监会办公厅关于绿色信贷工作的意见》</w:t>
      </w:r>
      <w:bookmarkEnd w:id="240"/>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文号：银监办发〔2013〕40号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各银监局，各政策性银行、国有商业银行、股份制商业银行，邮储银行，中国银行业协会：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根据党的十八大提出的“建设生态文明”，“着力推进绿色发展、循环发展和低碳发展”总要求，为深入贯彻国家相关宏观调控政策，认真落实《节能减排授信工作指导意见》（银监发〔2007〕83号）和《绿色信贷指引》（银监发〔2012〕4号）等要求，有效防范环境和社会风险引发的信贷损失和不利影响，做好绿色信贷工作，现提出如下意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一、牢固树立绿色信贷理念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和银行业金融机构要深入领会将生态文明建设纳入“五位一体”现代化建设总布局的重要意义，积极承担应履行的职责和义务，全面落实《绿色信贷指引》，切实将绿色信贷理念融入银行经营活动和监管工作之中，不断增强银行业以绿色信贷促进生态文明建设的自觉性和主动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二、积极支持绿色、循环和低碳发展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业金融机构要按照风险可控、商业可持续原则，综合考虑授信客户及项目市场前景、政策补偿、风险状况等因素，加强授信机制、业务流程、产品开发等领域的创新，积极改善金融服务，加大对战略性新兴产业、文化产业、生产性服务业、工业转型升级等重点领域的支持力度，推动绿色经济、循环经济和低碳经济发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三、主动防控“两高一剩”行业信贷风险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业金融机构要加强对“两高一剩”行业的跟踪监测，及时了解重点行业、重点地区和重点企业过剩产能的消化措施、具体方式和进展情况。要严格控制“两高一剩”行业贷款，对拟关停淘汰的落后、过剩产能，要前瞻性地做好信贷压缩、退出和资产保全工作。在严格管控风险的前提下，对拟兼并重组和转移境外的过剩产能，积极探索贷款重组、发放并购贷款和境外贷款；对拟转型升级的过剩产能，应合理满足其节能减排、安全生产和技术改造等有效信贷需求。对“两高一剩”行业之外的拟扩大产能的重大工业项目，银行业金融机构之间要加强沟通协调，审慎评估市场前景，做好尽职调查，防范因产能过快扩张带来的信贷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四、严防环境和社会风险引发的风险损失及不利影响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业金融机构要加强绿色信贷相关组织、制度、流程和能力建设，完善内部考核评价与信息披露机制。要高度关注授信客户及项目在节能减排、环境保护、清洁生产和安全生产等方面的行为，以及给社会稳定带来的影响，据此完善分类管理和贷款“三查”。对出现重大违规行为的客户及项目，要及时采取相应风险处置措施，配合有关主管部门促其尽快整改；对出现重大信用风险、声誉风险的客户及项目，要及时采取资产保全措施，报告董事会和监管部门并严格问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五、加强环境和社会风险提示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要加强与节能减排、环境保护、安全生产、工业和信息化等主管部门的沟通联系，及时向银行业金融机构反馈重大环境、安全生产违法违规企业名单和未完成年度节能目标的“万家企业名单”及贷款信息，提示辖内主要环境和社会风险，并督促银行业金融机构做好风险防范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六、有针对性地开展环境和社会风险排查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要根据辖内生态文明建设和社会发展现状，组织银行业金融机构有针对性地开展客户环境和社会风险排查。对于风险较大的地区和银行业金融机构，可开展专项检查。对于检查发现的问题，银行业金融机构要及时开展整改和风险处置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七、加快有关信息共享平台建设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应加强与当地节能减排、环境保护、安全生产、工业和信息化等主管部门之间的信息共享，加快省级信息共享电子网络平台建设。要采取有效措施，提高共享信息的及时性、准确性和完整性，为银行业金融机构提供更完善的监管信息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八、完善绿色信贷统计制度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和银行业金融机构要认真做好绿色信贷统计工作。在2013年上半年试填《绿色信贷统计报表》的基础上，加强经验总结、交流和统计培训，及时开发完善统计信息系统，从下半年起正式实施绿色信贷统计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九、探索将绿色信贷实施成效纳入机构监管评级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根据《国务院“十二五”节能减排综合性工作方案》提出的“建立银行绿色评级制度”的要求，制定银行业金融机构绿色信贷实施情况关键评价指标，选择部分银行业金融机构开展试评价。在此基础上，探索将绿色信贷实施成效纳入机构监管评级的具体办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十、持续推进国内外绿色信贷经验交流工作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积极搭建绿色信贷经验交流平台，推动银行业金融机构发展具有自身特色的绿色信贷业务。同时，继续参与新兴市场国家绿色信贷跨国工作组的工作，认真学习借鉴相关国家推动绿色信贷发展的经验教训。</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十一、进一步发挥银行业协会的作用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业协会要加强与相关产业的沟通联系，协助成员机构更好地了解产业发展动向。对一些产业出现的风险苗头，要及时组织开展调研，协助成员机构调整并完善行业信贷政策。要加强咨询服务、教育培训、经验交流和专家团队建设，协助成员机构更好地开展绿色信贷工作。</w:t>
      </w:r>
    </w:p>
    <w:p>
      <w:pPr>
        <w:spacing w:after="156" w:afterLines="50" w:line="360" w:lineRule="auto"/>
        <w:ind w:firstLine="480" w:firstLineChars="200"/>
        <w:rPr>
          <w:rFonts w:hint="eastAsia" w:cs="宋体" w:asciiTheme="majorEastAsia" w:hAnsiTheme="majorEastAsia" w:eastAsiaTheme="majorEastAsia"/>
          <w:lang w:eastAsia="zh-CN"/>
        </w:rPr>
      </w:pP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p>
    <w:p>
      <w:pPr>
        <w:pStyle w:val="2"/>
        <w:numPr>
          <w:ilvl w:val="0"/>
          <w:numId w:val="0"/>
        </w:numPr>
        <w:ind w:left="922" w:leftChars="0" w:hanging="440" w:firstLineChars="0"/>
      </w:pPr>
      <w:bookmarkStart w:id="241" w:name="_Toc30746"/>
      <w:r>
        <w:rPr>
          <w:rFonts w:cs="宋体" w:asciiTheme="majorEastAsia" w:hAnsiTheme="majorEastAsia" w:eastAsiaTheme="majorEastAsia"/>
          <w:b/>
          <w:bCs/>
          <w:sz w:val="24"/>
          <w:szCs w:val="24"/>
          <w:lang w:val="en-US" w:eastAsia="zh-CN" w:bidi="ar-SA"/>
        </w:rPr>
        <w:t>53.</w:t>
      </w:r>
      <w:r>
        <w:rPr>
          <w:rFonts w:hint="eastAsia"/>
        </w:rPr>
        <w:t>《关于加强2013年地方政府融资平台贷款风险监管的指导意见》</w:t>
      </w:r>
      <w:bookmarkEnd w:id="241"/>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文号：银监发〔2013〕10号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各银监局，各政策性银行、国有商业银行、股份制商业银行、金融资产管理公司，邮政储蓄银行，各省级农村信用联社，银监会直接监管的信托公司、企业集团财务公司、金融租赁公司：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2013年，各银行业金融机构要遵循“总量控制、分类管理、区别对待、逐步化解”的总体原则，以控制总量、优化结构、隔离风险、明晰职责为重点，继续推进地方政府融资平台（简称“融资平台”）贷款风险管控。现就2013年融资平台贷款风险监管提出如下指导意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一、总体要求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（一）严格把握定义。地方政府融资平台是指由地方政府出资设立并承担连带还款责任的机关、事业、企业三类法人。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（二）完善“名单制”管理。各银行要继续完善融资平台“名单制”管理信息系统，及时更新客户信息，并按季报送监管机构。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动态调整风险定性。各银行要继续按照融资平台自身现金流覆盖债务本息的情况，将融资平台分为“全覆盖”、“基本覆盖”、“半覆盖”、“无覆盖”。“全覆盖”是指借款人自有现金流量占其全部应还债务本息的比例为100%（含）以上；“基本覆盖”是指借款人自有现金流占其全部应还债务本息的比例为70%（含）至100%之间；“半覆盖”是指借款人自有现金流占其全部应还债务本息的比例为30%（含）至70%之间；“无覆盖”是指借款人自有现金流占其全部应还债务本息的比例为30%以下。各银行应审慎合理测算融资平台自身现金流，并对分类结果进行动态调整，及时报牵头行汇总形成一致性意见，并按季上报监管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坚持退出分类制度。各银行要继续将融资平台划分为“仍按平台管理类”和“退出为一般公司类”（以下简称“退出类”。如无特殊说明，本指导意见所称融资平台均含这两类），加强对两类融资平台的统一监测和分类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“退出类”是指经核查评估和整改后，已具备商业化贷款条件，自身具有充足稳定的经营性现金流，能够全额偿还贷款本息，整体转化为一般公司类客户管理的融资平台。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凡不符合退出条件以及未完成退出流程的融资平台，均作为“仍按平台管理类”管理。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二、化解到期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（五）制订到期还款方案。对于今年到期的融资平台贷款，各银行要与融资平台、地方政府制定详细的还款方案，逐笔明确还款日期、还款金额和偿债资金来源，并于5月30日前报各银监局和各银行总行。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密切监测到期贷款风险。各银行、各银监局要共同对今年到期的融资平台贷款逐笔建立统计监测制度，逐月统计到期金额和偿债资金来源。各银监局要汇总辖内融资平台贷款偿还情况，按季进行风险分析。对于不能按方案落实资金来源、未能按期偿还到期贷款或存在以贷还贷问题的，各银行要立即向监管机构报告，并及时与地方政府进行沟通，采取措施及时处置，避免出现重大违约事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三、控制总量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（七）控制平台贷款总量。按照“保在建、压重建、控新建”的基本要求，继续坚持总量控制。各银行业金融机构法人不得新增融资平台贷款规模。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四、优化结构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实施平台层级差异化管理。新增贷款应主要支持符合条件的省级融资平台、保障性住房和国家重点在建续建项目的合理融资需求。对于现金流覆盖率低于100%或资产负债率高于80%的融资平台，各银行要确保其贷款占本行全部平台贷款的比例不高于上年水平，并采取措施逐步减少贷款发放，加大贷款清收力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五、严控新增</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严格新发放平台贷款条件。融资平台新发放贷款必须满足六个前提条件：一是现金流全覆盖；二是抵押担保符合现行规定，不存在地方政府及所属事业单位、社会团体直接或间接担保，且存量贷款已在抵押担保、贷款期限、还款方式等方面整改合格；三是融资平台存量贷款中需要财政偿还的部分已纳入地方财政预算管理，并已落实预算资金来源；四是借款人为本地融资平台；五是资产负债率低于80%;六是符合《关于制止地方政府违法违规融资行为的通知》(财预(2012)463号)文件有关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控制平台贷款投向。对于“仍按平台管理类”，新发放贷款的投向主要为五个方面:一是符合《会路法》的收费公路项目；二是国务院审批或核准通过且资本金到位的重大项目；三是符合《关于加强土地储备与融资管理的通知》(国土资发[2012]162号)要求，已列入国土资源部名录的土地储备机构的土地储备贷款;四是保障性安居工程建设项目；五是工程进度达到60%以上，且现金流测算达到全覆盖的在建项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农业发展银行的平台贷款投向还包括符合中央政策的农田水利类项目。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强化贷款审批制度。各银行应按照“统一授信、总量控制、逐笔审批、监督支付”的原则，加强总行对“仍按平台管理类”贷款的集中审批和管理，对于新增贷款，由总行统一授信和审批，加强支付监督，防止贷款挪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六、缓释存量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持续推进存量平台贷款整改。各银行要加强抵押担保整改，严格执行《担保法》、《物权法》、《预算法》等法律法规规定，及时落实和追加合法、有效、足值的抵质押品。要加强贷款合同整攻，根据项目预期现金流情况和实际建设期、达产期及运营期，限期整改贷款合向中的整借整还和期段过长问题。对于整借整还的中长期贷款，原则上按照等额分摊的方式每年至少两次偿还本金，利随本清。要如强贷款条件整改，全面核实存量平台贷款的合同条款和信贷条件，采取措施限期整改借款人资质不健全、项目资本金不达标、审批文件和手续不合法不齐全等问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(十五)分类缓释存量贷款风险。各银行应根据融资平台现金流能否达到全覆盖、项目建设进度等情况，采取“及时收贷、收回再贷、据实定贷、引资还贷、只收不贷”的方式，逐步缓释存量平台贷款风险。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“及时收贷”是指对于融资平台现金流全覆盖、已经完工达产且形成现金流收入的项目，要封闭现金流，对回笼款进行专户管理，按照原来的约定及时清收贷款。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“收回再贷”是指对于融资平台现金流全覆盖、已建成但还没有产生足够现金流偿还贷款本息（没有经济建成)的项目，可以在原有贷款额度内进行再融资。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“据实定贷”是指对于融资平台现金流全覆盖、已经确定工期但因有不可抗拒的因素导致不能如期完工，但贷款巳经到期的项目，要一次性修改贷款合同，根据实际工期重新确定贷款期限。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“引资还贷”是指对于融资平台现金流不能够全覆盖，能够吸引社会资金投资的项目，在现有贷款余额不增加的前提下，可以通过资产重组、引入新投资者、项目出售等方式，引进资金用于还贷。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“只收不贷”是指对于融资平台现金流不能够全覆盖，不宜吸引社会资金投资的项目，银行只能只收不贷，并要求地方政府将偿债资金纳入预算，明确偿债资金来源。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四)严格把握实施条件。各银行要严格执行融资平台存量贷款风险缓释的各项要求。实施“收回再贷”和“据实定贷”的，借款人必须满足抵押担保、还款方式等方面整改合格的前提条件，必须经各银行总行审批同意，并及时向属地监管机构备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七、隔离风险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五)建立全口径融资平台负债统计制度。各银行和各级监管机构均要建立包括银行贷款、企业债券、中期票据、短期融资券、信托计划、理财产品等在内的全口径融资平台负债统计制度。各银行要统筹考虑融资平台总负债规模与其偿债能力的匹配程度，加强对融资平台的全面风险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六)审慎持有融资平台债券。各银行应将购买持有融资平台发行费券的审批权限上收至总行，并参照新增融资平台贷款条件，制定相应的融资平台债券管理制度，实行总行统一授信、全口径监控和逐笔审批。各银行不得为融资平台发行债券提供担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七)防范融资平台变相融资。继续严格执行“名单制”管理制度，符合国发[2010]19号、财预[2010]412号及财预[2012]463号文件规定继续保留和新设的融资平台，必须纳入“名单制”进行统计。各银行不得对未纳入"名单制"管理的融资平台发放任何形式由财政性资金承担直接或间接还款责任的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八、审慎退出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八)严格平台退出条件。融资平台退出需满足五个条件：一是符合现代公司治理要求，属于接照商业化原则运作的企业法人；二是资产负债率在70%以下，财务报告经过会计师事务所审计；三是各债权银行对融资平台的风险定性均为全覆盖；四是存量贷款中需要财政偿还的部分已纳入地方对政预算管理并已落实预算资金来源，且存量贷款的抵押担保、贷款期限、还款方式等已整改合格；五是城信经营，无违约记录，可持续独立发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九)严格平台退出程序。融资平台退出继续接照以下程序进行：一是牵头行发起。由牵头行发起，各债权银行认真审核并形成一致性退出意见。二是各总行审批。各债权银行分支机构将融资平台退出申请报各总行审核批准。三是三方签字。各债权银行获总行退出审批通过后，与地方政府相关部门、平台公司进行沟通协商并告三方签字确认。四是退出承诺。在三方签字的同时，地方政府及相关部门应明确承诺不再为“退出类”平台新增贷款提供任何担保：各银行应明确承诺按审慎信贷原则进行贷款管理，并独立承担新增贷款风险。五是监管备案。牵头行将有关资料收集完整后向融资平台属地监管机构报备，监管机构在融资平台报表中标示退出。平台退出时间以三方签字时间为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严格子台退后管理。“退出类”新增贷款应严格遵循产业政策、信贷政策和一般公司贷款条件，实行“谁贷款，谁承担风险”的责任迫究机制。各银行总行应于2013年6月30日和12月31日前对已实施退出的融资平台的合规性和风险性进行检查，对于五项指标低于本指导意见有关退出条件监管要求、违背退出程序和贷款承诺的，应及时向融资平台属地监管机构反馈并重新纳入平台管理。各银行不得向“退出类”平台发放保障性住房和其他公益性项自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九、明确职责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一）明确各方职责。各银行作为融资平台贷款风险管控的第一责任人，要自主判定融资平台贷款是否存有风险，并应建立融资平台贷款风险问责机制。出现问题的，要严格按照规定追究责任。监管机构负责风险监管政策的制定，指导银行实施，并通过现场检查和非现场监管及时发现银行在融资平台贷款经营活动中的各种违法违规问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二)实施现场检查。各银监局要结合2013年现场检查计划，按照属地原则对平台贷款开展现场检查，上下半年各进行一次，由各银监局、银监分局分别组织实施。其中，上半年检查重点为2012年末“退出类”平台贷款余额最大的一户，下半年检查重点2013年上半年“仍按平台管理类”新增贷款最多的一户。检查对象原则上不与2011年、2012年重复。现场检查报告由各银监局收集汇总后，分别于2013年7月31日和2014年1月31日前报送银监会。银监会于年中开展一次针对“退出类”平台合规性的检查(形式为现场检查或抽查)，重点检查已退出平台是否存在突破本指导意见有关退出条件要求以及违反退出程序的情形，一经发现，将直接重新纳入“仍按平台类管理”，并严格处理银行的相关任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（二十二）加强问责机制。对于非现场监管和现场检查中发现的违规问题，要严肃追究银行相关责任人的责任，并采取监管通报、约见高级管理人员、暂停所有市场准入等监管措施。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请各银行将本指导意见尽快传达至本系统各级分支机构，并结合本行实际制定具体的落实措施及管理办法。各银监局要向地方政府做好政策汇报和解释工作。如在执行过程中发现问题，请及时向银监会报告。</w:t>
      </w:r>
    </w:p>
    <w:p>
      <w:pPr>
        <w:pStyle w:val="2"/>
        <w:numPr>
          <w:ilvl w:val="0"/>
          <w:numId w:val="0"/>
        </w:numPr>
        <w:ind w:left="922" w:leftChars="0" w:hanging="440" w:firstLineChars="0"/>
      </w:pPr>
      <w:bookmarkStart w:id="242" w:name="_Toc26198"/>
      <w:r>
        <w:rPr>
          <w:rFonts w:cs="宋体" w:asciiTheme="majorEastAsia" w:hAnsiTheme="majorEastAsia" w:eastAsiaTheme="majorEastAsia"/>
          <w:b/>
          <w:bCs/>
          <w:sz w:val="24"/>
          <w:szCs w:val="24"/>
          <w:lang w:val="en-US" w:eastAsia="zh-CN" w:bidi="ar-SA"/>
        </w:rPr>
        <w:t>54.</w:t>
      </w:r>
      <w:r>
        <w:rPr>
          <w:rFonts w:hint="eastAsia"/>
        </w:rPr>
        <w:t>《报送绿色信贷统计表的通知》</w:t>
      </w:r>
      <w:bookmarkEnd w:id="24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文号：银监办发[2013]185号</w:t>
      </w:r>
      <w:r>
        <w:rPr>
          <w:rFonts w:hint="eastAsia" w:cs="宋体" w:asciiTheme="majorEastAsia" w:hAnsiTheme="majorEastAsia" w:eastAsiaTheme="majorEastAsia"/>
        </w:rPr>
        <w:tab/>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各银监局,各政策性银行、国有商业银行、股份制商业银行,邮政储蓄银行:</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为全面准确反映银行业金融机构绿色信贷实施成效，银监会依据《“十二五”节能减排综合性工作方案》、《节能减排“十二五”规划》、《环境保护“十二五”规划》等国家宏观调控政策,以及相关部委、国际组织及专家的意见,制定了“绿色信贷统计表”。现就有关事项通知如下:</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一、填报机构和内容各政策性银行、国有商业银行、股份制商业银行、邮政储蓄银行按境内分支机构汇总报送银监会统计部</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各银监局负责组织开展辖内银行业金影机构“绿色信贷统计表”的报送工作,统计数据暂不报送银监会</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“绿色信贷统计表”包括两张报表:环境、安全等重大风险企业信贷情况统计表(附件1),节能环保项目及服务贷款情况统计表(附件2)。填报说明见附件3。</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二、报送要求</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(一)报送方式</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各银行业金融机构总行收集整理本行数据,按照规定的报表格式填制表格,通过电子文件格式报送银监会统计部。报送数据时需要登录中国银监会数据采集系统(外网)下载“绿色信贷统计表”模板及相关文档,按照模板规范填写数据并完成打包后,通过中国银监会数据采集系统(外网)向银监会报送数据文件。具体报送流程见附件5。</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(二)报送频率和时间</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报送频率为半年报。报送时问为半年后25日内、年后45日第一次报送时间为2013年8月16日前报送2013年6月末数据,以后各期报表报送时间按半年后25日内、年后45日内执行</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三、相关事项</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(一)各银行业金融机构要按照“绿色信贷统计表”填报要求抓紧时间做好系统调整和完善工作,加强内部协调,保证准确、及时、完整地报送数据</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二)附件1中有关环境保护、安全生产违法违规和职业病预防控制措施不达标企业的名单,由银监会商请环境保护部、国家安全生产监督管理总局提供后印发,届时请根据所提供名单进行填报;附件2中有关节能减排量的数据依据附件3的填报说明进行填报,如果相关批复文件或报告中未给出相应节能减排种类和数据,参考“绿色信贷项目节能减排量测算指引”(附件4)进行测算和填报</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(三)填表时应严格按照模板格式填制,请勿对模板进行任何其他格式设重。确保报表中只有一个Sheet表,Sheet表名称为:模板。贷款余额为零时,填写“0.00”,不要留有空白。</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四)报表命名规则为“报表ID+机构名称+机构编码+数据日期”,其中,附件1、附件2的报表ID分别为T104、T105。报表名称格式样例为:“T104_中国工商银行_C000010000399999201306”和“T105_中国工商银行_C000010000399999_201306”机构编码、名称应与1104系统中的机构编码、名称保持一致,数据日期为“YYYY-MM”(四位年和两位月,勿加具体日),报表的扩展名为OfficeExcel2003的标准扩展名“.xls”。每个信息项中间应加“”(英文状态的下划线)进行分割。</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(五)报送日期为数据时点日期,即半年末或年末日期,不应填写报表上报日期。日期格式样例为:2013-6-30。</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(六)上传报表时应利用中国银监会数据采集系统客户端V70进行加密打包,不允许使用其它软件对报表进行压缩等处理此外,报表只需进行一次打包,请勿重复打包。</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(七)为及时沟通报表填报情况,请填写“绿色信贷统计表”负责人员通讯录(附件6),并于7月17日前传真至银监会统计部。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中国银行业监督管理委员会</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2013年7月4日</w:t>
      </w:r>
    </w:p>
    <w:p>
      <w:pPr>
        <w:spacing w:after="156" w:afterLines="50" w:line="360" w:lineRule="auto"/>
        <w:ind w:firstLine="480" w:firstLineChars="200"/>
        <w:rPr>
          <w:rFonts w:asciiTheme="majorEastAsia" w:hAnsiTheme="majorEastAsia" w:eastAsiaTheme="majorEastAsia"/>
        </w:rPr>
        <w:sectPr>
          <w:pgSz w:w="11906" w:h="16838"/>
          <w:pgMar w:top="1440" w:right="1800" w:bottom="1440" w:left="1800" w:header="851" w:footer="992" w:gutter="0"/>
          <w:cols w:space="425" w:num="1"/>
          <w:docGrid w:type="lines" w:linePitch="312" w:charSpace="0"/>
        </w:sectPr>
      </w:pPr>
    </w:p>
    <w:p>
      <w:pPr>
        <w:pStyle w:val="2"/>
        <w:numPr>
          <w:ilvl w:val="0"/>
          <w:numId w:val="0"/>
        </w:numPr>
        <w:ind w:left="922" w:leftChars="0" w:hanging="440" w:firstLineChars="0"/>
      </w:pPr>
      <w:bookmarkStart w:id="243" w:name="_Toc31450"/>
      <w:r>
        <w:rPr>
          <w:rFonts w:cs="宋体" w:asciiTheme="majorEastAsia" w:hAnsiTheme="majorEastAsia" w:eastAsiaTheme="majorEastAsia"/>
          <w:b/>
          <w:bCs/>
          <w:sz w:val="24"/>
          <w:szCs w:val="24"/>
          <w:lang w:val="en-US" w:eastAsia="zh-CN" w:bidi="ar-SA"/>
        </w:rPr>
        <w:t>55.</w:t>
      </w:r>
      <w:r>
        <w:rPr>
          <w:rFonts w:hint="eastAsia"/>
        </w:rPr>
        <w:t>《中国人民银行关于进一步推进利率市场化改革的通知》</w:t>
      </w:r>
      <w:bookmarkEnd w:id="243"/>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发文机构：中国人民银行</w:t>
      </w:r>
      <w:r>
        <w:rPr>
          <w:rFonts w:hint="eastAsia" w:cs="宋体" w:asciiTheme="majorEastAsia" w:hAnsiTheme="majorEastAsia" w:eastAsiaTheme="majorEastAsia"/>
        </w:rPr>
        <w:tab/>
      </w:r>
      <w:r>
        <w:rPr>
          <w:rFonts w:hint="eastAsia" w:cs="宋体" w:asciiTheme="majorEastAsia" w:hAnsiTheme="majorEastAsia" w:eastAsiaTheme="majorEastAsia"/>
        </w:rPr>
        <w:t>文号：银发〔2013〕180号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中国人民银行上海总部，各分行、营业管理部，各省会（首府）城市中心支行、深圳市中心支行，国有商业银行、股份制商业银行，中国邮政储蓄银行，各金融资产管理公司：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为进一步推进利率市场化改革，经国务院批准，中国人民银行决定，自2013年7月20日起全面放开金融机构贷款利率管制。现就有关事宜通知如下：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一、全面放开金融机构贷款利率管制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取消金融机构贷款利率0.7倍的下限，由金融机构根据商业原则自主确定贷款利率水平。个人住房贷款利率浮动区间不作调整，仍保持原区间不变，继续严格执行差别化的住房信贷政策。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取消票据贴现利率管制，改变贴现利率在再贴现利率基础上加点确定的方式，由金融机构自主确定。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取消农村信用社贷款利率2.3倍的上限，由农村信用社根据商业原则自主确定对客户的贷款利率。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金融机构要积极适应贷款利率的市场化定价方式，以市场供求为基础，结合期限、信用等风险因素合理确定贷款利率。完善定价机制建设，提高差异化服务水平，稳妥处理合同关系，保证贷款正常发放。强化财务硬约束和利率风险管理，确保内部管理措施的有效落实。相关制度办法要及时报人民银行备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人民银行上海总部、各分行（营业管理部）、省会（首府）城市中心支行、深圳市中心支行要将本通知立即转发至辖区内城市（农村）商业银行、农村合作银行、农村信用社、开办人民币存、贷款业务的外资银行等金融机构，做好相关指导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四、对全面放开贷款利率管制后各方面的反应及出现的新情况、新问题要及时处理并上报人民银行总行。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中国人民银行</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2013年7月19日</w:t>
      </w:r>
    </w:p>
    <w:p>
      <w:pPr>
        <w:pStyle w:val="2"/>
        <w:numPr>
          <w:ilvl w:val="0"/>
          <w:numId w:val="0"/>
        </w:numPr>
        <w:ind w:left="922" w:leftChars="0" w:hanging="440" w:firstLineChars="0"/>
      </w:pPr>
      <w:bookmarkStart w:id="244" w:name="_Toc7900"/>
      <w:r>
        <w:rPr>
          <w:rFonts w:cs="宋体" w:asciiTheme="majorEastAsia" w:hAnsiTheme="majorEastAsia" w:eastAsiaTheme="majorEastAsia"/>
          <w:b/>
          <w:bCs/>
          <w:sz w:val="24"/>
          <w:szCs w:val="24"/>
          <w:lang w:val="en-US" w:eastAsia="zh-CN" w:bidi="ar-SA"/>
        </w:rPr>
        <w:t>56.</w:t>
      </w:r>
      <w:r>
        <w:rPr>
          <w:rFonts w:hint="eastAsia"/>
        </w:rPr>
        <w:t>《中国银监会关于加强银行保理融资业务管理的通知》</w:t>
      </w:r>
      <w:bookmarkEnd w:id="244"/>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文号：银监发[2013]35号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各银监局，各政策性银行、国有商业银行、股份制商业银行、金融资产管理公司，邮储银行，各省级农村信用联社，银监会直接监管的信托公司、企业集团财务公司、金融租赁公司：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近年来，银行保理融资业务发展较快，其中卖方单保理增长尤为迅速，一些银行存在借保理融资之名叙做一般性贷款，放松融资审查等问题。为防范和控制风险，促进银行保理融资业务健康发展，现就有关事项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保理业务是指以债权人转让其应收账款为前提，集银行融资、应收账款催收、管理及坏账担保于一体的综合性金融服务。债权人将其应收账款转让给银行，不论是否融资，由银行向其提供应收账款催收、应收账款管理和坏账担保中的至少一项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银行保理融资是指在保理业务基础上开展的以卖方转让应收账款为前提的银行融资服务。其中，卖方双保理融资是指在买方保理机构承担买方因财务或资信原因拒付风险的前提下，由银行为卖方提供的保理融资，包括出口双保理和国内销售双保理。卖方单保理融资是指没有买方保理机构参与，由一家银行独立为卖方提供保理融资的服务，包括出口单保理、国内销售单保理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银行应结合本行经营战略对保理融资业务清晰定位，并根据保理融资规模和复杂程度，建立相匹配的组织架构。保理融资规模较大，复杂度较高的银行，应设立专门的保理业务部门或团队，配备专业的从业人员，建立完整独立的前中后台管理流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四、银行应对各类保理融资业务制定明确的政策和程序，保持统一的业务标准和操作要求。定期评估政策和程序的有效性，保持保理业务的稳健运行。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五、银行应根据自身的内部控制水平和风险管理能力，对应收账款范围予以规范，并对各类应收账款对应的保理业务风险点有针对性地区别控制。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银行不得基于以下内容开展保理融资：不合法基础交易合同、代理销售合同、未来应收账款、权属不清的应收账款、因票据或其他有价证券而产生的付款请求权等。其中，未来应收账款是指依据合同项下卖方的义务未履行完毕的预期应收账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七、卖方双保理中，银行应对合格买方保理机构制定准入标准，对于买方保理机构为非银行机构的应采取名单制管理，同时制定严格的准入准出标准与程序。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银行应加强卖方单保理融资业务管理，严格单保理融资业务准入。所有单保理融资应严格审核基础交易的真实性，同时确定卖方或买方一方比照流动资金贷款进行授信管理，严格受理与调查、风险评价与评估、支付和监测等全流程控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银行应通过单保理合同约定，要求卖方指定专门资金回笼账户并及时提供该账户资金进出情况。银行应动态关注卖方或买方经营、管理、财务及资金流向等重大预警信号，采取有效措施防范化解保理融资业务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十、卖方双保理融资中，买方保理机构因买方拒付而履行垫付款义务后，应将垫款计入表内，并分类为不良贷款进行管理。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十一、银行应根据自身保理融资业务发展状况，加强犐犜系统建设和支持力度。保理融资业务规模较大，复杂程度较高的银行应建立电子化业务操作和管理系统，提高业务效率，降低操作风险水平。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十二、银行应严格按照上述各项要求开展保理融资业务。各级监管机构要加强监督检查，发现银行违反本通知相关规定的，应要求其停止该业务，并依据《中华人民共和国银行业监督管理法》相关规定实施处罚。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外国银行分行、农村合作银行、农村信用社等其他银行业金融机构开展相关业务的，参照本通知执行。</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2013年7月31日</w:t>
      </w:r>
    </w:p>
    <w:p>
      <w:pPr>
        <w:pStyle w:val="2"/>
        <w:numPr>
          <w:ilvl w:val="0"/>
          <w:numId w:val="0"/>
        </w:numPr>
        <w:ind w:left="922" w:leftChars="0" w:hanging="440" w:firstLineChars="0"/>
      </w:pPr>
      <w:bookmarkStart w:id="245" w:name="_Toc20636"/>
      <w:r>
        <w:rPr>
          <w:rFonts w:cs="宋体" w:asciiTheme="majorEastAsia" w:hAnsiTheme="majorEastAsia" w:eastAsiaTheme="majorEastAsia"/>
          <w:b/>
          <w:bCs/>
          <w:sz w:val="24"/>
          <w:szCs w:val="24"/>
          <w:lang w:val="en-US" w:eastAsia="zh-CN" w:bidi="ar-SA"/>
        </w:rPr>
        <w:t>57.</w:t>
      </w:r>
      <w:r>
        <w:rPr>
          <w:rFonts w:hint="eastAsia"/>
        </w:rPr>
        <w:t>《中国银行业监督管理委员会办公厅关于加强信贷管理严禁违规放贷的通知》</w:t>
      </w:r>
      <w:bookmarkEnd w:id="24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文号：银监办发[2014]40号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各银监局，各政策性银行、国有商业银行、股份制商业银行、金融资产管理公司，邮政储蓄银行，银监会直接监管的信托公司、企业集团财务公司、金融租赁公司：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近期，信贷领域外部骗贷案件和银行业金融机构内部人员违法放贷案件呈明显上升趋势。为加强银行业金融机构信贷管理，确保信贷资产安全，现将有关要求通知如下：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一、强化审慎经营理念，完善绩效考核机制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行业金融机构应切实转变粗放经营的发展方式，树立审慎、合规经营理念，坚持业务发展和风险防控并重，严防单纯追求市场份额，盲目扩张信贷规模，严禁为营销客户、追求规模而放松信贷标准或条件。银行业金融机构应统筹业务发展与风险防控，建立效益与风险、当期成果与可持续性发展兼顾的科学考评机制，引导各级经营机构转变“重规模、比速度、抢市场”的经营理念，切实杜绝绩效考核过于激进导致的合规隐患。建立信贷人员专项考评体系，把防范违规放贷风险与个人薪酬、职级变动等挂钩，调动信贷人员防范违规放贷的主动性、积极性和创造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二、严格落实贷款管理制度，确保信贷业务依法合规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行业金融机构应严格落实各项贷款管理制度。在贷款受理环节，要严格审查客户准入资格，严防利用不真实生产经营信息和虚假资料骗取贷款；在贷款调查环节，要认真核实客户贷款需求和申贷资料的真实性，客观评价客户还款能力，严防利用虚假资料或虚假担保等骗取贷款；在贷款风险评价和审批阶段，要多方获取客户最新融资信息，全面、科学测算贷款需求，严格按照规定程序审批贷款，严防逆程序操作和超权限审批，严防员工参与客户编造虚假材料，严禁授意或支持贷款调查、审查部门或人员撰写虚假调查、审查报告，严禁随意降低准入标准，严禁违规决策审批贷款；在贷款合同签订和发放阶段，要坚持合同面签制度，严防在未落实贷款条件或客户经营发生重大不利变化情况下发放贷款，严防客户用虚假支付依据支取贷款；在贷后检查阶段，要加强对客户贷款使用的监督，及时跟踪客户经营状况，定期实地查看押品状态，严防贷款被挪用、资产被转移、担保被悬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三、加强流程控制，提高信贷业务精细化管理水平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行业金融机构应根据经营环境、内部流程变化及监管要求，及时梳理并修订各项信贷管理政策、制度程序及操作规范，健全职责明确的授权机制、审批流程，严格审贷分离和前后台制约制度，强化贷款受理、尽职调查、风险评价、贷款审批、合同签订、贷款发放、资金支付、贷后管理各环节相互制约。对每一类信贷业务的基本程序、调查内容、审查要点、合同文本使用、到期或展期处理等方面做出具体规定，并作为办理信贷业务的依据，约束信贷人员依法合规开展信贷业务。将各种信贷政策制度和管理要求固化于流程控制之中，变制度执行和业务操作“软约束”为“硬控制”，刚性控制违规放贷等问题发生，保障信贷制度流程有效落实。不断加强贷款精细化管理，重点关注客户还款意愿和第一还款来源，减少对抵质押品等第二还款来源的依赖，防止银行信贷业务“典当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四、开展违规放贷风险排查，及时化解风险隐患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行业金融机构应结合自身信贷业务特点和风险控制能力，及时组织开展信贷操作风险和道德风险排查，重点关注以下领域：近年新增加的不良贷款；关注类贷款和违约客户情况；信贷资产转让情况；银行员工帮助客户规避制度获取贷款情况；贷款抵质押和担保落实情况；展期贷款和借新还旧贷款情况等。各银行业金融机构应认真分析信贷风险状况，确定排查重点和关键环节，制定排查方案，从计划统筹、立项管理、排查实施、质量控制、整改治理、成果利用等方面进行规范，整合排查资源、落实排查责任，对排查中暴露的问题，应及时治理，认真整改，排查中发现涉嫌违法犯罪的，应及时向当地公安机关报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五、加强监督检查，严肃查处违规放贷责任人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行业金融机构应充分发挥业务条线管理和内审稽核的作用，加强对信贷业务全流程的监督检查，采取集中检查、重点抽查、常规检查、突击检查等方式，加大对信贷业务监督审计的频度、广度和深度，严查信贷业务操作过程中的违法违规行为。对故意违规放贷造成重大风险和案件的直接责任人，一律开除；对直接参与或指使违规放贷的高级管理人员，一律撤职，对参与违规放贷的其他有关人员也应严肃处理。监管部门要加强对违规放贷问题的监督检查，对风险突出、问题严重的机构依法采取暂停准入、限制业务、取消高级管理人员任职资格等监管强制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六、加强教育管理，培育良好信贷合规文化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行业金融机构应有组织、有计划地开展信贷人员岗位规范和业务流程教育，让员工熟知工作流程、业务规范以及违规操作应承担的责任。开展职业道德教育、法制和案例警示教育，培养员工诚实守信的职业操守，筑牢员工拒腐防变的思想道德防线。加大合规文化建设力度，增强各级管理人员的合规意识，高级管理人员要带头执行各项管理制度，严禁授意或指令下属违规放贷，引导员工树立合规操作意识和遵纪守法观念，培育“合规从高层做起、合规人人有责、合规创造价值”的信贷合规文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中国银行业监督管理委员会办公厅</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2014年2月19日</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p>
    <w:p>
      <w:pPr>
        <w:pStyle w:val="2"/>
        <w:numPr>
          <w:ilvl w:val="0"/>
          <w:numId w:val="0"/>
        </w:numPr>
        <w:ind w:left="922" w:leftChars="0" w:hanging="440" w:firstLineChars="0"/>
      </w:pPr>
      <w:bookmarkStart w:id="246" w:name="_Toc23224"/>
      <w:r>
        <w:rPr>
          <w:rFonts w:cs="宋体" w:asciiTheme="majorEastAsia" w:hAnsiTheme="majorEastAsia" w:eastAsiaTheme="majorEastAsia"/>
          <w:b/>
          <w:bCs/>
          <w:sz w:val="24"/>
          <w:szCs w:val="24"/>
          <w:lang w:val="en-US" w:eastAsia="zh-CN" w:bidi="ar-SA"/>
        </w:rPr>
        <w:t>58.</w:t>
      </w:r>
      <w:r>
        <w:rPr>
          <w:rFonts w:hint="eastAsia"/>
        </w:rPr>
        <w:t>《中国银监会办公厅关于支持产业结构调整和化解产能过剩的指导意见》</w:t>
      </w:r>
      <w:bookmarkEnd w:id="24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文号：银监办发〔2014〕55号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各银监局，各政策性银行、国有商业银行、股份制商业银行、金融资产管理公司，邮政储蓄银行，各省级农村信用联社，银监会直接监管的信托公司、企业集团财务公司、金融租赁公司：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深入贯彻《国务院关于化解产能严重过剩矛盾的指导意见》（国发〔2013〕41号）和2014年银行业监管工作会议部署，落实有保有控的信贷政策要求，有效化解钢铁、水泥、电解铝、平板玻璃和船舶等产能严重过剩行业信贷风险，进一步支持产业结构调整升级，现就做好相关工作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一、总体要求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全面贯彻落实习近平总书记关于化解产能过剩的一系列重要讲话和国务院有关文件精神，将推动化解产能过剩作为当前和今后一个时期银行业转型发展和推进产业结构调整的工作重点。按照“尊重规律、分业施策、多管齐下、标本兼治”的总要求，加快完善差别化信贷支持安排，加强和改进信贷管理，落实区别对待、有保有控的政策要求；加快完善差异化监管政策，在积极支持化解产能过剩的同时，防范化解可能出现的金融风险；加快完善工作机制，调动相关各方积极性，确保中央政策落实到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二、基本原则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（一）坚持推进化解产能过剩与防范化解自身风险相结合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积极支持优质企业发展和先进产能建设，为企业消化、整合、转移产能提供优质金融服务，拓展可持续发展的市场空间。同时推动加快淘汰劣质企业和落后产能，及时消化处置风险。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（二）坚持严控信贷增量与优化信贷存量相结合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切实加强新上项目的信贷管理，严把政策界限、严格准入标准、严守审贷关口。按照“消化一批、转移一批、整合一批、淘汰一批”的路径，区别对待、分类施策，优化信贷结构。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（三）坚持市场手段与政策引导相结合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按照风险可控、商业可持续原则，独立审贷、自主决策，发挥好金融对资源配置的引导和约束作用。科学研判行业发展规律和市场供需形势，加强监管政策、产业政策、财税政策与信贷政策的协同配合，发挥政策合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三、具体措施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（一）深入排查，摸清风险底数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密切跟踪投资主管部门、行业主管部门、环保部门等发布的相关信息，深入排查存量贷款中可能存在的未开工违规项目贷款、违规在建项目贷款、违规建成项目贷款、涉及落后产能项目贷款、节能环保不达标企业贷款等，摸清可能产生的不良贷款底数。对于产能严重过剩行业客户实施动态名单制管理，“一户一策”、有针对性地制定风险化解方案，并在实施过程中动态跟踪监测，完善风险识别和统计监测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（二）严格把握政策界限，坚决做到令行禁止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对于未经投资及产业相关主管部门核准或备案的产能严重过剩行业的新增产能项目，严禁提供任何形式的新增授信支持；对于违规在建项目，在依法依规补办相关手续之前，停止授信审批、贷款发放及贷款支用，不得通过理财产品、信托资金、委托贷款、同业代付等其他方式变相提供融资，主动稳妥收回存量贷款，妥善做好债权资金的保全工作；对于涉及落后产能项目、节能环保不达标且整改无望的企业，严禁提供任何形式的新增授信支持，坚决压缩退出存量贷款；对于清理整顿后不符合备案要求的违规建成项目，应密切跟踪主管部门反馈意见，及时采取风险管理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（三）明确差别化信贷标准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按照区别对待、有保有控的原则，制定并实施好与国家经济发展战略相配套的差异化信贷政策。对于产能过剩行业、企业，主要通过严格标准、上收权限等方式，优化信贷结构。在产能过剩行业内，要区别先进和落后，通过科学设定信贷标准分类施策。信贷标准的设定，要涵盖利润率等效益类指标、碳排放等环保类指标、安全生产及劳工权益等社会管理类指标、用地用电用水等资源消耗类指标、劳动生产率和产能利用率等效率类指标，以及行业技术标准等。完善“统一授信、限额管理”制度，合理上收授信审批权限，产能过剩行业新开工项目授信由总行统一审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（四）践行绿色信贷，推进产业升级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将绿色信贷理念、标准、方法贯穿到信贷全流程，确保信贷资金投向符合技术升级要求、碳排放约束和绿色标准的领域，大力支持绿色经济、循环经济、低碳经济发展。对符合国家产业政策、行业标准，属于技术改造升级、产品结构调整、优化产业空间布局项目的合理信贷需求，在商业可持续、风险可控和手续齐备的前提下，进一步加大信贷支持力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（五）落实“四个一批”要求，积极支持产业结构优化调整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是支持扩大有效需求，助推消化一批产能。对于在城市化和工业化进程当中，市场尚未发育成熟、需求还没得到开发造成的相对过剩产能，通过扩大有效需求去逐步消化。银行业金融机构要通过优质的金融服务和信贷支持助推挖掘市场潜力、改善需求结构、引导需求升级，运用金融租赁、消费金融等多种手段，促进相对过剩产能与潜在有效需求合理对接。支持居民消费、新农村建设、建筑物抗震加固等消化过剩产能的信贷需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是支持企业“走出去”，助推转移一批产能。把握优势互补、互利共赢的原则，通过积极发展内保外贷、外汇及人民币贷款、贸易融资、国际保理等综合金融服务，支持符合条件的企业对外承包工程，扩大对外投资合作，带动国内技术、装备、产品、标准和服务等出口，有序向境外转移一批产能。支持产能严重过剩领域内的优势企业“走出去”，在全球范围内开展资源和价值链整合。支持符合国际标准和规范、满足当地需求和资源环境承载能力，且审批手续齐全的过剩产能，有序向境外转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是支持企业兼并重组，助推整合一批产能。积极支持通过兼并重组，推动技术升级和优化产业布局，打造一批产业链完整、核心竞争力强的企业集团。按照商业可持续原则开展并购贷款业务，合理确定并购贷款利率，并购贷款期限可延长至7年。鼓励采取银团贷款方式，合理分散信贷风险，加大对企业兼并重组的支持力度。在有效控制风险与满足其他监管要求的前提下，鼓励运用信托资金、委托贷款等方式扩大兼并重组资金来源。做好重组企业贷款合同的相关工作，落实债权债务责任，积极防范兼并重组过程中可能产生的金融风险，防止因兼并重组出现债权悬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是加大退出保全力度，助推淘汰一批产能。对于破坏生态环境、消耗大量资源、严重影响人民群众身体健康的落后产能，要积极主动参与关停处置等工作，坚决压缩退出存量贷款，科学制定债权保全措施，依法保护金融债权。做好应对不良资产上升工作，按照财政部《金融企业呆账核销管理办法（2013年修订版）》（财金〔2013〕146号）等规定，做好不良贷款核销工作，及时核销不良贷款，做到账销、权在、案存和严格保密；按照《金融企业不良资产批量转让管理办法》（财金〔2012〕6号）等规定，探索运用批量转让等市场化处置手段，多渠道化解产能过剩行业不良贷款，确保不积累新的风险。研究探索产能置换指标交易配套金融服务，推动加快形成淘汰落后与发展先进的良性互动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四、工作机制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（一）加强组织领导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化解产能过剩对推动我国经济持续健康发展有着极其重要的战略意义。银行业金融机构要加强组织领导，由董事会对化解产能严重过剩工作负总责，明确高管层、牵头部门的管理职责，强化全行统筹安排，层层落实责任。建立清晰的战略安排，制定明确的分阶段工作方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（二）建立完善机制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健全信贷管理机制，实施差别化风险定价，有条件的银行业金融机构要探索实施经济资本分配等措施。健全风险防范化解机制，完善风险识别和统计监测制度，开展动态压力测试，做好风险应对预案，并在资本规划中予以充分考虑。对产能严重过剩行业进一步加强风险动态评估，充分考虑市场环境、产业政策变化、产业区划布局调整、节能环保标准提高等因素对企业项目建设及生产经营的影响，严格划分信贷风险类别，相应计提贷款损失准备。要健全考核问责机制，将化解产能严重过剩、践行绿色信贷、履行社会责任有关工作完成情况纳入综合考核评价体系，与机构、人员奖惩挂钩。要抓违反规定的反面典型，严肃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（三）加强协调和处置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业金融机构要积极加强与相关部门、单位和行际间的沟通协调，尤其要加强与地方政府的沟通协调，积极主动参与各地化解产能严重过剩的方案制定工作。加强与行业主管部门的沟通联系，主动了解相关行业准入等信息，加强前瞻性研判，完善信贷管理。加强与地方政府和司法机关沟通联系，严厉打击以化解产能严重过剩名义逃废债务行为。由银监局指导当地银行业协会牵头，相关银行联合建立化解产能严重过剩矛盾工作机制，对于企业损失较为严重、涉及企业集群或关联企业面较大的问题，联合确定处置方案，充分共享相关信息，协调一致开展工作。特别是加强企业逃废债及违约信息共享，协调风险暴露企业集团财务清偿，对恶意逃废银行债务的企业实施联合制裁，建立有效的惩戒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五、监督管理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各监管部门和各银监局要加强监管政策与产业政策、信贷政策的协同配合，建立健全监管激励约束机制，综合运用多种手段强化政策传导和落实。</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（一）加强信息服务，做好政策传导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进一步加强相关部门间协调配合，建立有效的动态信息收集、披露和共享机制。搭建信息共享平台，及时向银行业金融机构通报当地产业规划调整、立项审批、能耗评估、违规在建或建成项目处理、环保在线监控、安全生产、涉及落后产能及兼并重组企业名单等信息，引导银行业金融机构前瞻性做好信贷资产管理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（二）加强非现场监测和现场检查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完善相关统计制度，加强调查研究，开展有针对性的现场检查和必要的延伸检查。全面掌握所监管机构、所监管辖区内的产能过剩信贷情况、潜在风险情况，建立健全风险预警制度，督促银行业金融机构及时做好风险化解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（三）加强产能过剩重点区域、重点机构监管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对产能过剩集中的地区、产能过剩行业贷款集中度高的银行业金融机构要加强监管，防范风险持续积聚，防止中小银行业金融机构续做大型银行业金融机构已退出的信贷业务，形成新的风险。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（四）实施好差别化监管政策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根据化解产能过剩客观实际，研究完善差别化资本和拨备要求。建立监管后评价体系，从战略规划、管理政策、内控要求、组织实施以及工作成效等方面，对银行业金融机构落实差别化信贷政策和实施绿色信贷工作进行评价，探索将评价结果合理运用到高管履职评价、业务准入、监管评级等方面。对违反规定向产能严重过剩行业提供授信的行为依法处罚，严格问责。</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2014年3月13日</w:t>
      </w:r>
    </w:p>
    <w:p>
      <w:pPr>
        <w:pStyle w:val="2"/>
        <w:numPr>
          <w:ilvl w:val="0"/>
          <w:numId w:val="0"/>
        </w:numPr>
        <w:ind w:left="922" w:leftChars="0" w:hanging="440" w:firstLineChars="0"/>
      </w:pPr>
      <w:bookmarkStart w:id="247" w:name="_Toc13374"/>
      <w:r>
        <w:rPr>
          <w:rFonts w:cs="宋体" w:asciiTheme="majorEastAsia" w:hAnsiTheme="majorEastAsia" w:eastAsiaTheme="majorEastAsia"/>
          <w:b/>
          <w:bCs/>
          <w:sz w:val="24"/>
          <w:szCs w:val="24"/>
          <w:lang w:val="en-US" w:eastAsia="zh-CN" w:bidi="ar-SA"/>
        </w:rPr>
        <w:t>59.</w:t>
      </w:r>
      <w:r>
        <w:rPr>
          <w:rFonts w:hint="eastAsia"/>
        </w:rPr>
        <w:t>《绿色信贷实施情况关键评价指标》</w:t>
      </w:r>
      <w:r>
        <w:rPr>
          <w:rFonts w:hint="eastAsia"/>
        </w:rPr>
        <w:tab/>
      </w:r>
      <w:bookmarkEnd w:id="24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文号：银监办发[2014]186号</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各银监局，各政策性银行、国有商业银行、股份制商业银行，邮政储蓄银行：</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为贯彻《“十二五”节能减排综合性工作方案》（国发〔2011〕26号）、《环境保护“十二五”规划》（国发〔2011〕42号）、《国务院关于加快发展节能环保产业的意见》（国发〔2013〕30号）等政策要求，落实《绿色信贷指引》（银监发〔2012〕4号）等监管规定，推动银行业金融机构开展绿色信贷工作，银监会制定了绿色信贷实施情况关键评价指标，现印发给你们。</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请各银行对照绿色信贷实施情况关键评价指标，认真组织开展本机构绿色信贷实施情况自评价工作，并于每年5月31日前将自评价报告报送银监会。</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各银监局根据辖内银行业金融机构实际情况，组织开展相关自评价工作。</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联系人：雷放010-66279067</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于方利010-66279061</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电子邮件：tjbztc@cbrc.gov.cn</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2014年6月27日</w:t>
      </w:r>
    </w:p>
    <w:p>
      <w:pPr>
        <w:spacing w:after="156" w:afterLines="50" w:line="360" w:lineRule="auto"/>
        <w:ind w:firstLine="480" w:firstLineChars="200"/>
        <w:rPr>
          <w:rFonts w:cs="宋体" w:asciiTheme="majorEastAsia" w:hAnsiTheme="majorEastAsia" w:eastAsiaTheme="majorEastAsia"/>
        </w:rPr>
      </w:pP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附件：绿色信贷实施情况关键评价指标</w:t>
      </w:r>
    </w:p>
    <w:p>
      <w:pPr>
        <w:spacing w:after="156" w:afterLines="50" w:line="360" w:lineRule="auto"/>
        <w:rPr>
          <w:rFonts w:cs="宋体" w:asciiTheme="majorEastAsia" w:hAnsiTheme="majorEastAsia" w:eastAsiaTheme="majorEastAsia"/>
        </w:rPr>
      </w:pPr>
      <w:r>
        <w:drawing>
          <wp:inline distT="0" distB="0" distL="0" distR="0">
            <wp:extent cx="5274310" cy="4602480"/>
            <wp:effectExtent l="0" t="0" r="2540" b="7620"/>
            <wp:docPr id="153830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0321" name="图片 1"/>
                    <pic:cNvPicPr>
                      <a:picLocks noChangeAspect="1"/>
                    </pic:cNvPicPr>
                  </pic:nvPicPr>
                  <pic:blipFill>
                    <a:blip r:embed="rId8"/>
                    <a:stretch>
                      <a:fillRect/>
                    </a:stretch>
                  </pic:blipFill>
                  <pic:spPr>
                    <a:xfrm>
                      <a:off x="0" y="0"/>
                      <a:ext cx="5274310" cy="4602480"/>
                    </a:xfrm>
                    <a:prstGeom prst="rect">
                      <a:avLst/>
                    </a:prstGeom>
                  </pic:spPr>
                </pic:pic>
              </a:graphicData>
            </a:graphic>
          </wp:inline>
        </w:drawing>
      </w:r>
    </w:p>
    <w:p>
      <w:pPr>
        <w:spacing w:after="156" w:afterLines="50" w:line="360" w:lineRule="auto"/>
        <w:rPr>
          <w:rFonts w:cs="宋体" w:asciiTheme="majorEastAsia" w:hAnsiTheme="majorEastAsia" w:eastAsiaTheme="majorEastAsia"/>
        </w:rPr>
      </w:pPr>
      <w:r>
        <w:drawing>
          <wp:inline distT="0" distB="0" distL="0" distR="0">
            <wp:extent cx="5274310" cy="2929255"/>
            <wp:effectExtent l="0" t="0" r="2540" b="4445"/>
            <wp:docPr id="10473198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19851" name="图片 1"/>
                    <pic:cNvPicPr>
                      <a:picLocks noChangeAspect="1"/>
                    </pic:cNvPicPr>
                  </pic:nvPicPr>
                  <pic:blipFill>
                    <a:blip r:embed="rId9"/>
                    <a:stretch>
                      <a:fillRect/>
                    </a:stretch>
                  </pic:blipFill>
                  <pic:spPr>
                    <a:xfrm>
                      <a:off x="0" y="0"/>
                      <a:ext cx="5274310" cy="2929255"/>
                    </a:xfrm>
                    <a:prstGeom prst="rect">
                      <a:avLst/>
                    </a:prstGeom>
                  </pic:spPr>
                </pic:pic>
              </a:graphicData>
            </a:graphic>
          </wp:inline>
        </w:drawing>
      </w:r>
    </w:p>
    <w:p>
      <w:pPr>
        <w:spacing w:after="156" w:afterLines="50" w:line="360" w:lineRule="auto"/>
        <w:rPr>
          <w:rFonts w:cs="宋体" w:asciiTheme="majorEastAsia" w:hAnsiTheme="majorEastAsia" w:eastAsiaTheme="majorEastAsia"/>
        </w:rPr>
      </w:pPr>
      <w:r>
        <w:drawing>
          <wp:inline distT="0" distB="0" distL="0" distR="0">
            <wp:extent cx="5274310" cy="4398010"/>
            <wp:effectExtent l="0" t="0" r="2540" b="2540"/>
            <wp:docPr id="6638871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87175" name="图片 1"/>
                    <pic:cNvPicPr>
                      <a:picLocks noChangeAspect="1"/>
                    </pic:cNvPicPr>
                  </pic:nvPicPr>
                  <pic:blipFill>
                    <a:blip r:embed="rId10"/>
                    <a:stretch>
                      <a:fillRect/>
                    </a:stretch>
                  </pic:blipFill>
                  <pic:spPr>
                    <a:xfrm>
                      <a:off x="0" y="0"/>
                      <a:ext cx="5274310" cy="4398010"/>
                    </a:xfrm>
                    <a:prstGeom prst="rect">
                      <a:avLst/>
                    </a:prstGeom>
                  </pic:spPr>
                </pic:pic>
              </a:graphicData>
            </a:graphic>
          </wp:inline>
        </w:drawing>
      </w:r>
    </w:p>
    <w:p>
      <w:pPr>
        <w:spacing w:after="156" w:afterLines="50" w:line="360" w:lineRule="auto"/>
        <w:rPr>
          <w:rFonts w:cs="宋体" w:asciiTheme="majorEastAsia" w:hAnsiTheme="majorEastAsia" w:eastAsiaTheme="majorEastAsia"/>
        </w:rPr>
      </w:pPr>
      <w:r>
        <w:drawing>
          <wp:inline distT="0" distB="0" distL="0" distR="0">
            <wp:extent cx="5274310" cy="4385945"/>
            <wp:effectExtent l="0" t="0" r="2540" b="0"/>
            <wp:docPr id="7690884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88421" name="图片 1"/>
                    <pic:cNvPicPr>
                      <a:picLocks noChangeAspect="1"/>
                    </pic:cNvPicPr>
                  </pic:nvPicPr>
                  <pic:blipFill>
                    <a:blip r:embed="rId11"/>
                    <a:stretch>
                      <a:fillRect/>
                    </a:stretch>
                  </pic:blipFill>
                  <pic:spPr>
                    <a:xfrm>
                      <a:off x="0" y="0"/>
                      <a:ext cx="5274310" cy="4385945"/>
                    </a:xfrm>
                    <a:prstGeom prst="rect">
                      <a:avLst/>
                    </a:prstGeom>
                  </pic:spPr>
                </pic:pic>
              </a:graphicData>
            </a:graphic>
          </wp:inline>
        </w:drawing>
      </w:r>
    </w:p>
    <w:p>
      <w:pPr>
        <w:spacing w:after="156" w:afterLines="50" w:line="360" w:lineRule="auto"/>
        <w:rPr>
          <w:rFonts w:cs="宋体" w:asciiTheme="majorEastAsia" w:hAnsiTheme="majorEastAsia" w:eastAsiaTheme="majorEastAsia"/>
        </w:rPr>
      </w:pPr>
      <w:r>
        <w:drawing>
          <wp:inline distT="0" distB="0" distL="0" distR="0">
            <wp:extent cx="5274310" cy="3989705"/>
            <wp:effectExtent l="0" t="0" r="2540" b="0"/>
            <wp:docPr id="9645549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54906" name="图片 1"/>
                    <pic:cNvPicPr>
                      <a:picLocks noChangeAspect="1"/>
                    </pic:cNvPicPr>
                  </pic:nvPicPr>
                  <pic:blipFill>
                    <a:blip r:embed="rId12"/>
                    <a:stretch>
                      <a:fillRect/>
                    </a:stretch>
                  </pic:blipFill>
                  <pic:spPr>
                    <a:xfrm>
                      <a:off x="0" y="0"/>
                      <a:ext cx="5274310" cy="3989705"/>
                    </a:xfrm>
                    <a:prstGeom prst="rect">
                      <a:avLst/>
                    </a:prstGeom>
                  </pic:spPr>
                </pic:pic>
              </a:graphicData>
            </a:graphic>
          </wp:inline>
        </w:drawing>
      </w:r>
    </w:p>
    <w:p>
      <w:pPr>
        <w:spacing w:after="156" w:afterLines="50" w:line="360" w:lineRule="auto"/>
        <w:rPr>
          <w:rFonts w:cs="宋体" w:asciiTheme="majorEastAsia" w:hAnsiTheme="majorEastAsia" w:eastAsiaTheme="majorEastAsia"/>
        </w:rPr>
      </w:pPr>
      <w:r>
        <w:drawing>
          <wp:inline distT="0" distB="0" distL="0" distR="0">
            <wp:extent cx="5274310" cy="3254375"/>
            <wp:effectExtent l="0" t="0" r="2540" b="3175"/>
            <wp:docPr id="20343352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35221" name="图片 1"/>
                    <pic:cNvPicPr>
                      <a:picLocks noChangeAspect="1"/>
                    </pic:cNvPicPr>
                  </pic:nvPicPr>
                  <pic:blipFill>
                    <a:blip r:embed="rId13"/>
                    <a:stretch>
                      <a:fillRect/>
                    </a:stretch>
                  </pic:blipFill>
                  <pic:spPr>
                    <a:xfrm>
                      <a:off x="0" y="0"/>
                      <a:ext cx="5274310" cy="3254375"/>
                    </a:xfrm>
                    <a:prstGeom prst="rect">
                      <a:avLst/>
                    </a:prstGeom>
                  </pic:spPr>
                </pic:pic>
              </a:graphicData>
            </a:graphic>
          </wp:inline>
        </w:drawing>
      </w:r>
    </w:p>
    <w:p>
      <w:pPr>
        <w:spacing w:after="156" w:afterLines="50" w:line="360" w:lineRule="auto"/>
        <w:rPr>
          <w:rFonts w:cs="宋体" w:asciiTheme="majorEastAsia" w:hAnsiTheme="majorEastAsia" w:eastAsiaTheme="majorEastAsia"/>
        </w:rPr>
      </w:pPr>
      <w:r>
        <w:drawing>
          <wp:inline distT="0" distB="0" distL="0" distR="0">
            <wp:extent cx="5274310" cy="3218815"/>
            <wp:effectExtent l="0" t="0" r="2540" b="635"/>
            <wp:docPr id="7917491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49194" name="图片 1"/>
                    <pic:cNvPicPr>
                      <a:picLocks noChangeAspect="1"/>
                    </pic:cNvPicPr>
                  </pic:nvPicPr>
                  <pic:blipFill>
                    <a:blip r:embed="rId14"/>
                    <a:stretch>
                      <a:fillRect/>
                    </a:stretch>
                  </pic:blipFill>
                  <pic:spPr>
                    <a:xfrm>
                      <a:off x="0" y="0"/>
                      <a:ext cx="5274310" cy="3218815"/>
                    </a:xfrm>
                    <a:prstGeom prst="rect">
                      <a:avLst/>
                    </a:prstGeom>
                  </pic:spPr>
                </pic:pic>
              </a:graphicData>
            </a:graphic>
          </wp:inline>
        </w:drawing>
      </w:r>
    </w:p>
    <w:p>
      <w:pPr>
        <w:spacing w:after="156" w:afterLines="50" w:line="360" w:lineRule="auto"/>
        <w:rPr>
          <w:rFonts w:cs="宋体" w:asciiTheme="majorEastAsia" w:hAnsiTheme="majorEastAsia" w:eastAsiaTheme="majorEastAsia"/>
        </w:rPr>
      </w:pPr>
      <w:r>
        <w:drawing>
          <wp:inline distT="0" distB="0" distL="0" distR="0">
            <wp:extent cx="5274310" cy="3809365"/>
            <wp:effectExtent l="0" t="0" r="2540" b="635"/>
            <wp:docPr id="14933567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56791" name="图片 1"/>
                    <pic:cNvPicPr>
                      <a:picLocks noChangeAspect="1"/>
                    </pic:cNvPicPr>
                  </pic:nvPicPr>
                  <pic:blipFill>
                    <a:blip r:embed="rId15"/>
                    <a:stretch>
                      <a:fillRect/>
                    </a:stretch>
                  </pic:blipFill>
                  <pic:spPr>
                    <a:xfrm>
                      <a:off x="0" y="0"/>
                      <a:ext cx="5274310" cy="3809365"/>
                    </a:xfrm>
                    <a:prstGeom prst="rect">
                      <a:avLst/>
                    </a:prstGeom>
                  </pic:spPr>
                </pic:pic>
              </a:graphicData>
            </a:graphic>
          </wp:inline>
        </w:drawing>
      </w:r>
    </w:p>
    <w:p>
      <w:pPr>
        <w:spacing w:after="156" w:afterLines="50" w:line="360" w:lineRule="auto"/>
        <w:rPr>
          <w:rFonts w:cs="宋体" w:asciiTheme="majorEastAsia" w:hAnsiTheme="majorEastAsia" w:eastAsiaTheme="majorEastAsia"/>
        </w:rPr>
      </w:pPr>
      <w:r>
        <w:drawing>
          <wp:inline distT="0" distB="0" distL="0" distR="0">
            <wp:extent cx="5274310" cy="3107055"/>
            <wp:effectExtent l="0" t="0" r="2540" b="0"/>
            <wp:docPr id="4657560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56005" name="图片 1"/>
                    <pic:cNvPicPr>
                      <a:picLocks noChangeAspect="1"/>
                    </pic:cNvPicPr>
                  </pic:nvPicPr>
                  <pic:blipFill>
                    <a:blip r:embed="rId16"/>
                    <a:stretch>
                      <a:fillRect/>
                    </a:stretch>
                  </pic:blipFill>
                  <pic:spPr>
                    <a:xfrm>
                      <a:off x="0" y="0"/>
                      <a:ext cx="5274310" cy="3107055"/>
                    </a:xfrm>
                    <a:prstGeom prst="rect">
                      <a:avLst/>
                    </a:prstGeom>
                  </pic:spPr>
                </pic:pic>
              </a:graphicData>
            </a:graphic>
          </wp:inline>
        </w:drawing>
      </w:r>
    </w:p>
    <w:p>
      <w:pPr>
        <w:spacing w:after="156" w:afterLines="50" w:line="360" w:lineRule="auto"/>
        <w:rPr>
          <w:rFonts w:cs="宋体" w:asciiTheme="majorEastAsia" w:hAnsiTheme="majorEastAsia" w:eastAsiaTheme="majorEastAsia"/>
        </w:rPr>
      </w:pPr>
      <w:r>
        <w:drawing>
          <wp:inline distT="0" distB="0" distL="0" distR="0">
            <wp:extent cx="5274310" cy="3517265"/>
            <wp:effectExtent l="0" t="0" r="2540" b="6985"/>
            <wp:docPr id="10342479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47929" name="图片 1"/>
                    <pic:cNvPicPr>
                      <a:picLocks noChangeAspect="1"/>
                    </pic:cNvPicPr>
                  </pic:nvPicPr>
                  <pic:blipFill>
                    <a:blip r:embed="rId17"/>
                    <a:stretch>
                      <a:fillRect/>
                    </a:stretch>
                  </pic:blipFill>
                  <pic:spPr>
                    <a:xfrm>
                      <a:off x="0" y="0"/>
                      <a:ext cx="5274310" cy="3517265"/>
                    </a:xfrm>
                    <a:prstGeom prst="rect">
                      <a:avLst/>
                    </a:prstGeom>
                  </pic:spPr>
                </pic:pic>
              </a:graphicData>
            </a:graphic>
          </wp:inline>
        </w:drawing>
      </w:r>
    </w:p>
    <w:p>
      <w:pPr>
        <w:spacing w:after="156" w:afterLines="50" w:line="360" w:lineRule="auto"/>
        <w:rPr>
          <w:rFonts w:cs="宋体" w:asciiTheme="majorEastAsia" w:hAnsiTheme="majorEastAsia" w:eastAsiaTheme="majorEastAsia"/>
        </w:rPr>
      </w:pPr>
      <w:r>
        <w:drawing>
          <wp:inline distT="0" distB="0" distL="0" distR="0">
            <wp:extent cx="5274310" cy="2307590"/>
            <wp:effectExtent l="0" t="0" r="2540" b="0"/>
            <wp:docPr id="21359712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971208" name="图片 1"/>
                    <pic:cNvPicPr>
                      <a:picLocks noChangeAspect="1"/>
                    </pic:cNvPicPr>
                  </pic:nvPicPr>
                  <pic:blipFill>
                    <a:blip r:embed="rId18"/>
                    <a:stretch>
                      <a:fillRect/>
                    </a:stretch>
                  </pic:blipFill>
                  <pic:spPr>
                    <a:xfrm>
                      <a:off x="0" y="0"/>
                      <a:ext cx="5274310" cy="2307590"/>
                    </a:xfrm>
                    <a:prstGeom prst="rect">
                      <a:avLst/>
                    </a:prstGeom>
                  </pic:spPr>
                </pic:pic>
              </a:graphicData>
            </a:graphic>
          </wp:inline>
        </w:drawing>
      </w:r>
    </w:p>
    <w:p>
      <w:pPr>
        <w:spacing w:after="156" w:afterLines="50" w:line="360" w:lineRule="auto"/>
        <w:rPr>
          <w:rFonts w:cs="宋体" w:asciiTheme="majorEastAsia" w:hAnsiTheme="majorEastAsia" w:eastAsiaTheme="majorEastAsia"/>
        </w:rPr>
      </w:pPr>
      <w:r>
        <w:drawing>
          <wp:inline distT="0" distB="0" distL="0" distR="0">
            <wp:extent cx="5274310" cy="3860800"/>
            <wp:effectExtent l="0" t="0" r="2540" b="6350"/>
            <wp:docPr id="17591845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84514" name="图片 1"/>
                    <pic:cNvPicPr>
                      <a:picLocks noChangeAspect="1"/>
                    </pic:cNvPicPr>
                  </pic:nvPicPr>
                  <pic:blipFill>
                    <a:blip r:embed="rId19"/>
                    <a:stretch>
                      <a:fillRect/>
                    </a:stretch>
                  </pic:blipFill>
                  <pic:spPr>
                    <a:xfrm>
                      <a:off x="0" y="0"/>
                      <a:ext cx="5274310" cy="3860800"/>
                    </a:xfrm>
                    <a:prstGeom prst="rect">
                      <a:avLst/>
                    </a:prstGeom>
                  </pic:spPr>
                </pic:pic>
              </a:graphicData>
            </a:graphic>
          </wp:inline>
        </w:drawing>
      </w:r>
    </w:p>
    <w:p>
      <w:pPr>
        <w:spacing w:after="156" w:afterLines="50" w:line="360" w:lineRule="auto"/>
        <w:rPr>
          <w:rFonts w:cs="宋体" w:asciiTheme="majorEastAsia" w:hAnsiTheme="majorEastAsia" w:eastAsiaTheme="majorEastAsia"/>
        </w:rPr>
      </w:pPr>
      <w:r>
        <w:drawing>
          <wp:inline distT="0" distB="0" distL="0" distR="0">
            <wp:extent cx="5274310" cy="3644900"/>
            <wp:effectExtent l="0" t="0" r="2540" b="0"/>
            <wp:docPr id="1557214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21478" name="图片 1"/>
                    <pic:cNvPicPr>
                      <a:picLocks noChangeAspect="1"/>
                    </pic:cNvPicPr>
                  </pic:nvPicPr>
                  <pic:blipFill>
                    <a:blip r:embed="rId20"/>
                    <a:stretch>
                      <a:fillRect/>
                    </a:stretch>
                  </pic:blipFill>
                  <pic:spPr>
                    <a:xfrm>
                      <a:off x="0" y="0"/>
                      <a:ext cx="5274310" cy="3644900"/>
                    </a:xfrm>
                    <a:prstGeom prst="rect">
                      <a:avLst/>
                    </a:prstGeom>
                  </pic:spPr>
                </pic:pic>
              </a:graphicData>
            </a:graphic>
          </wp:inline>
        </w:drawing>
      </w:r>
    </w:p>
    <w:p>
      <w:pPr>
        <w:spacing w:after="156" w:afterLines="50" w:line="360" w:lineRule="auto"/>
        <w:rPr>
          <w:rFonts w:cs="宋体" w:asciiTheme="majorEastAsia" w:hAnsiTheme="majorEastAsia" w:eastAsiaTheme="majorEastAsia"/>
        </w:rPr>
      </w:pPr>
      <w:r>
        <w:drawing>
          <wp:inline distT="0" distB="0" distL="0" distR="0">
            <wp:extent cx="5274310" cy="3913505"/>
            <wp:effectExtent l="0" t="0" r="2540" b="0"/>
            <wp:docPr id="10723535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353536" name="图片 1"/>
                    <pic:cNvPicPr>
                      <a:picLocks noChangeAspect="1"/>
                    </pic:cNvPicPr>
                  </pic:nvPicPr>
                  <pic:blipFill>
                    <a:blip r:embed="rId21"/>
                    <a:stretch>
                      <a:fillRect/>
                    </a:stretch>
                  </pic:blipFill>
                  <pic:spPr>
                    <a:xfrm>
                      <a:off x="0" y="0"/>
                      <a:ext cx="5274310" cy="3913505"/>
                    </a:xfrm>
                    <a:prstGeom prst="rect">
                      <a:avLst/>
                    </a:prstGeom>
                  </pic:spPr>
                </pic:pic>
              </a:graphicData>
            </a:graphic>
          </wp:inline>
        </w:drawing>
      </w:r>
    </w:p>
    <w:p>
      <w:pPr>
        <w:spacing w:after="156" w:afterLines="50" w:line="360" w:lineRule="auto"/>
        <w:rPr>
          <w:rFonts w:cs="宋体" w:asciiTheme="majorEastAsia" w:hAnsiTheme="majorEastAsia" w:eastAsiaTheme="majorEastAsia"/>
        </w:rPr>
      </w:pPr>
      <w:r>
        <w:drawing>
          <wp:inline distT="0" distB="0" distL="0" distR="0">
            <wp:extent cx="5274310" cy="8386445"/>
            <wp:effectExtent l="0" t="0" r="2540" b="0"/>
            <wp:docPr id="11581380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38099" name="图片 1"/>
                    <pic:cNvPicPr>
                      <a:picLocks noChangeAspect="1"/>
                    </pic:cNvPicPr>
                  </pic:nvPicPr>
                  <pic:blipFill>
                    <a:blip r:embed="rId22"/>
                    <a:stretch>
                      <a:fillRect/>
                    </a:stretch>
                  </pic:blipFill>
                  <pic:spPr>
                    <a:xfrm>
                      <a:off x="0" y="0"/>
                      <a:ext cx="5274310" cy="8386445"/>
                    </a:xfrm>
                    <a:prstGeom prst="rect">
                      <a:avLst/>
                    </a:prstGeom>
                  </pic:spPr>
                </pic:pic>
              </a:graphicData>
            </a:graphic>
          </wp:inline>
        </w:drawing>
      </w:r>
    </w:p>
    <w:p>
      <w:pPr>
        <w:spacing w:after="156" w:afterLines="50" w:line="360" w:lineRule="auto"/>
        <w:rPr>
          <w:rFonts w:cs="宋体" w:asciiTheme="majorEastAsia" w:hAnsiTheme="majorEastAsia" w:eastAsiaTheme="majorEastAsia"/>
        </w:rPr>
      </w:pPr>
      <w:r>
        <w:drawing>
          <wp:inline distT="0" distB="0" distL="0" distR="0">
            <wp:extent cx="5274310" cy="8158480"/>
            <wp:effectExtent l="0" t="0" r="2540" b="0"/>
            <wp:docPr id="19490880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88028" name="图片 1"/>
                    <pic:cNvPicPr>
                      <a:picLocks noChangeAspect="1"/>
                    </pic:cNvPicPr>
                  </pic:nvPicPr>
                  <pic:blipFill>
                    <a:blip r:embed="rId23"/>
                    <a:stretch>
                      <a:fillRect/>
                    </a:stretch>
                  </pic:blipFill>
                  <pic:spPr>
                    <a:xfrm>
                      <a:off x="0" y="0"/>
                      <a:ext cx="5274310" cy="8158480"/>
                    </a:xfrm>
                    <a:prstGeom prst="rect">
                      <a:avLst/>
                    </a:prstGeom>
                  </pic:spPr>
                </pic:pic>
              </a:graphicData>
            </a:graphic>
          </wp:inline>
        </w:drawing>
      </w:r>
    </w:p>
    <w:p>
      <w:pPr>
        <w:spacing w:after="156" w:afterLines="50" w:line="360" w:lineRule="auto"/>
        <w:rPr>
          <w:rFonts w:cs="宋体" w:asciiTheme="majorEastAsia" w:hAnsiTheme="majorEastAsia" w:eastAsiaTheme="majorEastAsia"/>
        </w:rPr>
      </w:pPr>
      <w:r>
        <w:drawing>
          <wp:inline distT="0" distB="0" distL="0" distR="0">
            <wp:extent cx="5274310" cy="8664575"/>
            <wp:effectExtent l="0" t="0" r="2540" b="3175"/>
            <wp:docPr id="7582475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47550" name="图片 1"/>
                    <pic:cNvPicPr>
                      <a:picLocks noChangeAspect="1"/>
                    </pic:cNvPicPr>
                  </pic:nvPicPr>
                  <pic:blipFill>
                    <a:blip r:embed="rId24"/>
                    <a:stretch>
                      <a:fillRect/>
                    </a:stretch>
                  </pic:blipFill>
                  <pic:spPr>
                    <a:xfrm>
                      <a:off x="0" y="0"/>
                      <a:ext cx="5274310" cy="8664575"/>
                    </a:xfrm>
                    <a:prstGeom prst="rect">
                      <a:avLst/>
                    </a:prstGeom>
                  </pic:spPr>
                </pic:pic>
              </a:graphicData>
            </a:graphic>
          </wp:inline>
        </w:drawing>
      </w:r>
    </w:p>
    <w:p>
      <w:pPr>
        <w:spacing w:after="156" w:afterLines="50" w:line="360" w:lineRule="auto"/>
        <w:rPr>
          <w:rFonts w:cs="宋体" w:asciiTheme="majorEastAsia" w:hAnsiTheme="majorEastAsia" w:eastAsiaTheme="majorEastAsia"/>
        </w:rPr>
      </w:pPr>
      <w:r>
        <w:drawing>
          <wp:inline distT="0" distB="0" distL="0" distR="0">
            <wp:extent cx="5274310" cy="2985135"/>
            <wp:effectExtent l="0" t="0" r="2540" b="5715"/>
            <wp:docPr id="16008114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11428" name="图片 1"/>
                    <pic:cNvPicPr>
                      <a:picLocks noChangeAspect="1"/>
                    </pic:cNvPicPr>
                  </pic:nvPicPr>
                  <pic:blipFill>
                    <a:blip r:embed="rId25"/>
                    <a:stretch>
                      <a:fillRect/>
                    </a:stretch>
                  </pic:blipFill>
                  <pic:spPr>
                    <a:xfrm>
                      <a:off x="0" y="0"/>
                      <a:ext cx="5274310" cy="2985135"/>
                    </a:xfrm>
                    <a:prstGeom prst="rect">
                      <a:avLst/>
                    </a:prstGeom>
                  </pic:spPr>
                </pic:pic>
              </a:graphicData>
            </a:graphic>
          </wp:inline>
        </w:drawing>
      </w:r>
    </w:p>
    <w:p>
      <w:pPr>
        <w:spacing w:after="156" w:afterLines="50" w:line="360" w:lineRule="auto"/>
        <w:rPr>
          <w:rFonts w:cs="宋体" w:asciiTheme="majorEastAsia" w:hAnsiTheme="majorEastAsia" w:eastAsiaTheme="majorEastAsia"/>
        </w:rPr>
      </w:pPr>
      <w:r>
        <w:drawing>
          <wp:inline distT="0" distB="0" distL="0" distR="0">
            <wp:extent cx="5274310" cy="7037705"/>
            <wp:effectExtent l="0" t="0" r="2540" b="0"/>
            <wp:docPr id="3985604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60439" name="图片 1"/>
                    <pic:cNvPicPr>
                      <a:picLocks noChangeAspect="1"/>
                    </pic:cNvPicPr>
                  </pic:nvPicPr>
                  <pic:blipFill>
                    <a:blip r:embed="rId26"/>
                    <a:stretch>
                      <a:fillRect/>
                    </a:stretch>
                  </pic:blipFill>
                  <pic:spPr>
                    <a:xfrm>
                      <a:off x="0" y="0"/>
                      <a:ext cx="5274310" cy="7037705"/>
                    </a:xfrm>
                    <a:prstGeom prst="rect">
                      <a:avLst/>
                    </a:prstGeom>
                  </pic:spPr>
                </pic:pic>
              </a:graphicData>
            </a:graphic>
          </wp:inline>
        </w:drawing>
      </w:r>
    </w:p>
    <w:p>
      <w:pPr>
        <w:spacing w:after="156" w:afterLines="50" w:line="360" w:lineRule="auto"/>
        <w:rPr>
          <w:rFonts w:hint="eastAsia" w:cs="宋体" w:asciiTheme="majorEastAsia" w:hAnsiTheme="majorEastAsia" w:eastAsiaTheme="majorEastAsia"/>
        </w:rPr>
      </w:pPr>
      <w:r>
        <w:drawing>
          <wp:inline distT="0" distB="0" distL="0" distR="0">
            <wp:extent cx="5274310" cy="5613400"/>
            <wp:effectExtent l="0" t="0" r="2540" b="6350"/>
            <wp:docPr id="16087586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58659" name="图片 1"/>
                    <pic:cNvPicPr>
                      <a:picLocks noChangeAspect="1"/>
                    </pic:cNvPicPr>
                  </pic:nvPicPr>
                  <pic:blipFill>
                    <a:blip r:embed="rId27"/>
                    <a:stretch>
                      <a:fillRect/>
                    </a:stretch>
                  </pic:blipFill>
                  <pic:spPr>
                    <a:xfrm>
                      <a:off x="0" y="0"/>
                      <a:ext cx="5274310" cy="5613400"/>
                    </a:xfrm>
                    <a:prstGeom prst="rect">
                      <a:avLst/>
                    </a:prstGeom>
                  </pic:spPr>
                </pic:pic>
              </a:graphicData>
            </a:graphic>
          </wp:inline>
        </w:drawing>
      </w:r>
    </w:p>
    <w:p>
      <w:pPr>
        <w:spacing w:after="156" w:afterLines="50" w:line="360" w:lineRule="auto"/>
        <w:ind w:firstLine="480" w:firstLineChars="200"/>
        <w:rPr>
          <w:rFonts w:hint="eastAsia" w:cs="宋体" w:asciiTheme="majorEastAsia" w:hAnsiTheme="majorEastAsia" w:eastAsiaTheme="majorEastAsia"/>
        </w:rPr>
      </w:pP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p>
    <w:p>
      <w:pPr>
        <w:pStyle w:val="2"/>
        <w:numPr>
          <w:ilvl w:val="0"/>
          <w:numId w:val="0"/>
        </w:numPr>
        <w:ind w:left="922" w:leftChars="0" w:hanging="440" w:firstLineChars="0"/>
      </w:pPr>
      <w:bookmarkStart w:id="248" w:name="_Toc32333"/>
      <w:r>
        <w:rPr>
          <w:rFonts w:cs="宋体" w:asciiTheme="majorEastAsia" w:hAnsiTheme="majorEastAsia" w:eastAsiaTheme="majorEastAsia"/>
          <w:b/>
          <w:bCs/>
          <w:sz w:val="24"/>
          <w:szCs w:val="24"/>
          <w:lang w:val="en-US" w:eastAsia="zh-CN" w:bidi="ar-SA"/>
        </w:rPr>
        <w:t>60.</w:t>
      </w:r>
      <w:r>
        <w:rPr>
          <w:rFonts w:hint="eastAsia"/>
        </w:rPr>
        <w:t>《中国银监会办公厅关于加强企业担保圈贷款风险防范和化解工作的通知》</w:t>
      </w:r>
      <w:bookmarkEnd w:id="248"/>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文号：银监办发〔2014〕214号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各银监局，各政策性银行、国有商业银行、股份制商业银行，邮储银行：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近一时期，我国部分地区企业(不含融资性担保机构，下同)担保圈导致的信贷风险大量暴露，给银行信贷资产带来较大风险。为有效防范和化解企业担保圈贷款风险，现就有关事项通知如下：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提高认识。担保圈常见的担保模式有互保、联保、循环保等，当前在小微企业和县域企业中较为普遍。这些担保模式在一定程度上能够增强企业偿债能力，但也容易造成多头授信和过度授信，加大风险发生和传递的可能性。特别是在经济下行周期，当担保圈中个别企业发生经营问题和财务危机时，往往产生多米诺骨牌效应，风险很快传染整个担保圈，导致圈内企业整体陷入困境。各银行业金融机构要充分认识当前担保圈风险问题的严重性和复杂性，未雨绸缪、防患未然，研究采取有效措施防范化解风险，确保不发生区域性、系统性金融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转变观念。各银行业金融机构要改变银行贷款风险管理中过度依赖抵押、担保等第二还款来源的做法，把企业第一还款来源作为授信额度控制和贷款风险管理的首要条件。单个企业客户的贷款需求必须有真实交易背景作为支撑，根据企业销售规模与经营周转速度合理核定贷款额度，核定的贷款额度必须有可预见的稳定现金流作为覆盖。要严格控制企业间互保、联保、循环保贷款规模，适当降低互保、联保、循环保贷款比重，注重从源头上防范多头授信、连环互保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严格准入。各银行业金融机构要加强对企业互保、联保、循环保业务的准入管理，审慎评估保证人的实际担保能力，加强对保证人的准入管理。要深入调查相关借款人和担保人关联关系、资金流向并甄别联保背景真实性，防范操作风险和欺诈风险。严格限制盲目担保和过度担保行为，防止担保链条过长。对联保贷款方式，企业对外担保的限额原则上不得超过其净资产；除农户担保贷款外，每家企业担保客户不超过5户，并严格控制联保体内单户贷款额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专项排查。各银行业金融机构要对本行互保、联保、循环保企业客户进行专项排查，彻底清查和审慎评估担保圈内贷款风险。对排查过程中发现的属于担保圈贷款的客户，要及时纳入担保圈治理范围，重点做好对借款人、保证人偿债能力的分析和监控。在专项排查的基础上，要按照企业爆发风险的可能性及损失大小，对客户进行筛查排序，实施名单式管理，并将客户分为高风险、中风险、低风险三类，对高风险客户要坚持“一户一策”原则，逐户制订变更承债主体、调整贷款期限、优化担保结构、置换业务品种等风险处置预案。各银行业金融机构应在2014年10月底前完成风险排查，并及时向属地银监部门报告排查结果和高风险客户的风险处置预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抱团帮扶。对于已出现风险的担保圈贷款，要由主债权银行(即贷款余额最大行)牵头成立担保贷款债权人委员会，建立债权银行之间的协调会商机制，共同应对风险暴露后的化解处置。在发生因企业对外担保而形成的风险事件时，债权人委员会要协调各债权人按照“实事求是、区别对待、抱团帮扶、合力解困”的原则，积极整合资源化解债务风险。要共享信息、协调政策，共同促进风险化解工作，不得单独采取极端方式突然处置，防止担保圈内企业由于资金链断裂造成大面积倒闭，引发区域性金融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分类管理。对暂时出现资金链紧张，但属于战略新兴、节能环保等国家政策支持产业，或有市场、有客户、有核心竞争力、有科技含量的企业，债权银行不应强行要求立即偿还所有债务，不盲目抽贷、压贷、缓贷，可通过重新评估贷款期限、增加有效抵质押物等方式，帮助企业渡过难关，最大限度地保全银行债权。对于市场发展前景和盈利能力一般，或偿债能力不佳、保证人担保能力不足、关联关系过于复杂，或圈内企业存在违约记录的客户，可通过增加抵质押物、多收少贷、只收不贷等措施积极压缩收回贷款。对于市场发展前景不佳甚至属于国家政策限制发展的产业，或资金无盘活希望、有贷款诈骗嫌疑，甚至躲避还款、逃废银行债务的，要及时采取诉讼手段，保全资产、减少损失。</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七、核销处置。对于因担保圈问题导致的不良贷款，各银行业金融机构要用足用好国家有关部门关于呆账核销、不良处置的各项政策，通过及时核销、贷款转让、变更偿债主体等多种方式依法高效处置不良资产。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监测预警。各银行业金融机构要建立全面的风险预警管控机制，加强对企业担保圈贷款的日常监测。要健全风险预警指标体系，强化贷前风险预警功能，监控重点行业、区域、特定客户群等风险变化趋势，及时发出预警信号。重点监控银行贷款依存度高、民间融资依存度高、生产经营不正常的担保圈企业，长三角、珠三角等风险较高地区的担保圈企业，以及钢贸、煤炭、纺织化纤等风险较高行业领域的担保圈企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中国银行业监督管理委员会办公厅</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2014年7月28日</w:t>
      </w:r>
    </w:p>
    <w:p>
      <w:pPr>
        <w:pStyle w:val="2"/>
        <w:numPr>
          <w:ilvl w:val="0"/>
          <w:numId w:val="0"/>
        </w:numPr>
        <w:ind w:left="922" w:leftChars="0" w:hanging="440" w:firstLineChars="0"/>
      </w:pPr>
      <w:bookmarkStart w:id="249" w:name="_Toc8617"/>
      <w:r>
        <w:rPr>
          <w:rFonts w:cs="宋体" w:asciiTheme="majorEastAsia" w:hAnsiTheme="majorEastAsia" w:eastAsiaTheme="majorEastAsia"/>
          <w:b/>
          <w:bCs/>
          <w:sz w:val="24"/>
          <w:szCs w:val="24"/>
          <w:lang w:val="en-US" w:eastAsia="zh-CN" w:bidi="ar-SA"/>
        </w:rPr>
        <w:t>61.</w:t>
      </w:r>
      <w:r>
        <w:rPr>
          <w:rFonts w:hint="eastAsia"/>
        </w:rPr>
        <w:t>《关于信贷资产证券化备案登记工作流程的通知》</w:t>
      </w:r>
      <w:bookmarkEnd w:id="249"/>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文号：银监办便函〔2014〕1092号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各银监局，政策性银行、国有商业银行、股份制商业银行、金融资产管理公司、中国邮政储蓄银行、银监会直接监管的信托公司、企业集团财务公司、金融租赁公司：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加大金融支持实体经济力度，加快推进信贷资产证券化工作，根据金融监管协调部际联席第四次会议和我会2014年第8次主席会议的决定，信贷资产证券化业务将由审批制改为业务备案制。本着简政放权原则，我会不再针对证券化产品发行进行逐笔审批，银行业金融机构应在申请取得业务资格后开展业务，在发行证券化产品前应进行备案登记。现就有关事项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一、业务资格审批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业金融机构开展信贷资产证券化业务应向我会提出申请相关业务资格。应依据《金融机构信贷资产证券化业务试点监督管理办法》相关规定，将申请材料报送各机构监管部并会签创新部。对已发行过信贷资产支持证券的银行业金融机构豁免资格审批，但需履行相应手续。</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二、产品备案登记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业金融机构发行证券化产品前需进行备案登记。信贷资产证券化产品的备案申请由创新部统一受理、核实、登记；转送各机构监管部实施备案统计；备案后由创新部统一出口。银行业金融机构在完成备案登记后可开展资产支持证券的发行工作。已备案产品需在三个月内完成发行，三个月内未完成发行的须重新备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在备案过程中，各机构监管部应对发起机构合规性进行考察，不再打开产品“资产包”对基础资产等具体发行方案进行审查；会计师事务所、律师事务所、评级机构等合格中介机构应针对证券化产品发行方案出具专业意见，并向投资者充分披露；各银行业金融机构应选择符合国家相关政策的优质资产，采取简单透明的交易结构开展证券化业务，盘活信贷存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三、过渡期安排</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在本通知正式发布前已报送我会，正处于发行审批通道内的证券化产品仍按照原审批制下工作流程继续推进。本通知正式发布后，已发行过信贷资产支持证券的银行业金融机构被视为已具备相关业务资格，可按照上述新工作流程开展产品报备登记，并应补充完成业务资格审批手续；未发行过证券化产品的机构则需在获得业务资格后再进行产品备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请各银监局将本通知转发至辖内银监分局和银行业金融机构。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中国银行业监督管理委员会办公厅</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2014年11月20日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附件一：</w:t>
      </w:r>
    </w:p>
    <w:p>
      <w:pPr>
        <w:spacing w:after="156" w:afterLines="50" w:line="360" w:lineRule="auto"/>
        <w:ind w:firstLine="482" w:firstLineChars="200"/>
        <w:rPr>
          <w:rFonts w:cs="宋体" w:asciiTheme="majorEastAsia" w:hAnsiTheme="majorEastAsia" w:eastAsiaTheme="majorEastAsia"/>
          <w:b/>
          <w:bCs/>
        </w:rPr>
      </w:pPr>
      <w:r>
        <w:rPr>
          <w:rFonts w:hint="eastAsia" w:cs="宋体" w:asciiTheme="majorEastAsia" w:hAnsiTheme="majorEastAsia" w:eastAsiaTheme="majorEastAsia"/>
          <w:b/>
          <w:bCs/>
        </w:rPr>
        <w:t>信贷资产证券化项目备案登记工作相关要求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一、备案登记材料清单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1．信贷资产证券化项目备案登记表（附件二）；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2．由发起机构和受托机构联合签署的项目备案报告；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3．信贷资产证券化项目计划书；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4．信托合同、贷款服务合同、资金保管合同及其他相关法律文件草案；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5．执业律师出具的法律意见书草案、注册会计师出具的会计意见书草案、资信评级机构出具的信用评级报告草案及有关持续跟踪评级安排的说明；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6．受托机构在信托财产收益支付的间隔期内，对信托财产收益进行投资管理的原则及方式说明；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7．发起机构信贷资产证券化业务资格的批复或相关证明文件；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8．特定目的信托受托机构资格的批复；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9．银监会要求的其他文件和材料。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以上备案登记材料应参照《金融机构信贷资产证券化试点监督管理办法》第十三条相关要求报送。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二、备案登记工作相关要求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1．信贷资产证券化项目备案登记工作由发起机构进行。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2．信贷资产证券化发起机构应填写《信贷资产证券化项目备案登记表》，并由相关填报人员签字并加盖机构公章。</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3．填报机构将备案登记材料清单中相关材料报送至银监会创新部，并将《信贷资产证券化项目备案登记表》电子版发送至zhangmengsheng@cbrc.gov.cn。</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附件二：信贷资产证券化项目备案登记表</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drawing>
          <wp:inline distT="0" distB="0" distL="114300" distR="114300">
            <wp:extent cx="3962400" cy="5153025"/>
            <wp:effectExtent l="0" t="0" r="0" b="13335"/>
            <wp:docPr id="2" name="图片 2" descr="附件二：信贷资产证券化项目备案登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件二：信贷资产证券化项目备案登记表"/>
                    <pic:cNvPicPr>
                      <a:picLocks noChangeAspect="1"/>
                    </pic:cNvPicPr>
                  </pic:nvPicPr>
                  <pic:blipFill>
                    <a:blip r:embed="rId28"/>
                    <a:stretch>
                      <a:fillRect/>
                    </a:stretch>
                  </pic:blipFill>
                  <pic:spPr>
                    <a:xfrm>
                      <a:off x="0" y="0"/>
                      <a:ext cx="3962400" cy="5153025"/>
                    </a:xfrm>
                    <a:prstGeom prst="rect">
                      <a:avLst/>
                    </a:prstGeom>
                  </pic:spPr>
                </pic:pic>
              </a:graphicData>
            </a:graphic>
          </wp:inline>
        </w:drawing>
      </w:r>
    </w:p>
    <w:p>
      <w:pPr>
        <w:pStyle w:val="2"/>
        <w:numPr>
          <w:ilvl w:val="0"/>
          <w:numId w:val="0"/>
        </w:numPr>
        <w:ind w:left="922" w:leftChars="0" w:hanging="440" w:firstLineChars="0"/>
      </w:pPr>
      <w:bookmarkStart w:id="250" w:name="_Toc25259"/>
      <w:r>
        <w:rPr>
          <w:rFonts w:cs="宋体" w:asciiTheme="majorEastAsia" w:hAnsiTheme="majorEastAsia" w:eastAsiaTheme="majorEastAsia"/>
          <w:b/>
          <w:bCs/>
          <w:sz w:val="24"/>
          <w:szCs w:val="24"/>
          <w:lang w:val="en-US" w:eastAsia="zh-CN" w:bidi="ar-SA"/>
        </w:rPr>
        <w:t>62.</w:t>
      </w:r>
      <w:r>
        <w:rPr>
          <w:rFonts w:hint="eastAsia"/>
        </w:rPr>
        <w:t>《能效信贷指引》</w:t>
      </w:r>
      <w:bookmarkEnd w:id="250"/>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发文机构：中国银行业监督管理委员会(已撤销)、国家发展和改革委员会(含原国家发展计划委员会、原国家计划委员会)</w:t>
      </w:r>
      <w:r>
        <w:rPr>
          <w:rFonts w:hint="eastAsia" w:cs="宋体" w:asciiTheme="majorEastAsia" w:hAnsiTheme="majorEastAsia" w:eastAsiaTheme="majorEastAsia"/>
        </w:rPr>
        <w:tab/>
      </w:r>
    </w:p>
    <w:p>
      <w:pPr>
        <w:spacing w:after="156" w:afterLines="50" w:line="360" w:lineRule="auto"/>
        <w:ind w:firstLine="480" w:firstLineChars="200"/>
        <w:outlineLvl w:val="0"/>
        <w:rPr>
          <w:rFonts w:cs="宋体" w:asciiTheme="majorEastAsia" w:hAnsiTheme="majorEastAsia" w:eastAsiaTheme="majorEastAsia"/>
        </w:rPr>
      </w:pPr>
      <w:bookmarkStart w:id="251" w:name="_Toc20303"/>
      <w:r>
        <w:rPr>
          <w:rFonts w:hint="eastAsia" w:cs="宋体" w:asciiTheme="majorEastAsia" w:hAnsiTheme="majorEastAsia" w:eastAsiaTheme="majorEastAsia"/>
        </w:rPr>
        <w:t>文号：银监发〔2015〕2号</w:t>
      </w:r>
      <w:bookmarkEnd w:id="251"/>
    </w:p>
    <w:p>
      <w:pPr>
        <w:spacing w:after="156" w:afterLines="50" w:line="360" w:lineRule="auto"/>
        <w:ind w:firstLine="482" w:firstLineChars="200"/>
        <w:outlineLvl w:val="0"/>
        <w:rPr>
          <w:rFonts w:cs="宋体" w:asciiTheme="majorEastAsia" w:hAnsiTheme="majorEastAsia" w:eastAsiaTheme="majorEastAsia"/>
          <w:b/>
          <w:bCs/>
        </w:rPr>
      </w:pPr>
      <w:bookmarkStart w:id="252" w:name="_Toc10135"/>
      <w:r>
        <w:rPr>
          <w:rFonts w:hint="eastAsia" w:cs="宋体" w:asciiTheme="majorEastAsia" w:hAnsiTheme="majorEastAsia" w:eastAsiaTheme="majorEastAsia"/>
          <w:b/>
          <w:bCs/>
        </w:rPr>
        <w:t>第一章总则</w:t>
      </w:r>
      <w:bookmarkEnd w:id="25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促进银行业金融机构能效信贷持续健康发展，积极支持产业结构调整和企业技术改造升级，根据《中华人民共和国银行业监督管理法》、《中华人民共和国商业银行法》、《中华人民共和国节约能源法》等法律法规，制定本指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中华人民共和国境内经中国银监会批准设立的银行业金融机构开展能效信贷业务，适用本指引。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重点用能单位、节能服务公司、第三方节能量审核机构依据本指引开展与能效信贷有关的活动。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本指引所称能效信贷是指银行业金融机构为支持用能单位提高能源利用效率，降低能源消耗而提供的信贷融资。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中国银监会依法对银行业金融机构开展能效信贷业务实施监督和管理。国家发展改革委依法负责对重点用能单位、节能服务公司、第三方节能量审核机构开展的节能工作实施监督和管理。</w:t>
      </w:r>
    </w:p>
    <w:p>
      <w:pPr>
        <w:spacing w:after="156" w:afterLines="50" w:line="360" w:lineRule="auto"/>
        <w:ind w:firstLine="482" w:firstLineChars="200"/>
        <w:outlineLvl w:val="0"/>
        <w:rPr>
          <w:rFonts w:cs="宋体" w:asciiTheme="majorEastAsia" w:hAnsiTheme="majorEastAsia" w:eastAsiaTheme="majorEastAsia"/>
          <w:b/>
          <w:bCs/>
        </w:rPr>
      </w:pPr>
      <w:bookmarkStart w:id="253" w:name="_Toc31894"/>
      <w:r>
        <w:rPr>
          <w:rFonts w:hint="eastAsia" w:cs="宋体" w:asciiTheme="majorEastAsia" w:hAnsiTheme="majorEastAsia" w:eastAsiaTheme="majorEastAsia"/>
          <w:b/>
          <w:bCs/>
        </w:rPr>
        <w:t>第二章服务领域及重点项目</w:t>
      </w:r>
      <w:bookmarkEnd w:id="25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能效信贷业务的重点服务领域包括：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（一）工业节能，主要涉及电力、煤炭、钢铁、有色金属、石油石化、化工、建材、造纸、纺织、印染、食品加工、照明等重点行业；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（二）建筑节能，主要涉及既有和新建居住建筑、国家机关办公建筑和商业、服务业、教育、科研、文化、卫生等其他公共建筑，建筑集中供热、供冷系统节能设备及系统优化，可再生能源建筑应用等；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（三）交通运输节能，主要涉及铁路运输、公路运输、水路运输、航空运输和城市交通等行业；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（四）与节能项目、服务、技术和设备有关的其他重要领域。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能效项目是指通过优化设计、更新用能设备和系统、加强能源回收利用等方式，以节省一次、二次能源为目的的能源节约项目，具备以下特征：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技术类型复杂，专业性强：包括锅炉（窑炉）、电机系统、信息处理等设备，生产线节能改造，热电联产，能量系统优化，余热余压利用，建筑节能，交通运输节能，绿色照明等，涉及各类节能低碳专业技术，且技术创新较快；</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涉及内容广，参与主体多：包括节能技术有偿使用、节能设备和产品生产与销售、节能工程建设、节能运行与管理、节能信息服务、节能金融服务等多个方面，涉及众多市场参与者，包括用能单位、节能服务公司、节能设备和产品的供应商与销售商、工程设计单位、金融机构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（三）市场潜力大，兼具经济、环境、社会效益：能源稀缺性日益凸显，价格长期呈上升趋势，能效项目经济效益显著，能效提高可以有效降低能源消耗、减少二氧化碳和污染物排放，环境社会效益突出。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银行业金融机构应在有效控制风险和商业可持续的前提下，加大对以下重点能效项目的信贷支持力度：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（一）有利于促进产业结构调整、企业技术改造和重要产品升级换代的重点能效项目；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（二）符合国家规划的重点节能工程或列入国家重点节能低碳技术推广目录的能效项目及合同能源管理项目，效益突出、信用良好、能源管理体系健全的“万家企业”中的节能技改工程等；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高于现行国家标准的低能耗、超低能耗新建节能建筑，符合国家绿色建筑评价标准的新建二、三星级绿色建筑和绿色保障性住房项目，既有建筑节能改造、绿色改造项目、可再生能源建筑应用项目、集中性供热、供冷系统节能改造、节能运行管理项目、获得绿色建材二、三星级评价标识的项目，符合国家能效技术规范和绿色评价标准的新建码头及配套节能减排设施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（四）符合国家绿色循环低碳交通运输要求的重点节能工程或试点示范项目，符合船舶能效技术规范和二氧化碳排放限值的新建船舶，列入低碳交通运输“千家企业”的节能项目等；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（五）符合国家半导体照明节能产业规划的半导体照明产业化及室内外半导体照明应用项目等；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（六）获得国家或地方政府有关部门资金支持的节能技术改造项目和重大节能技术产品产业化项目；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（七）其他符合国家产业政策或者行业规划的重点能效项目。</w:t>
      </w:r>
    </w:p>
    <w:p>
      <w:pPr>
        <w:spacing w:after="156" w:afterLines="50" w:line="360" w:lineRule="auto"/>
        <w:ind w:firstLine="482" w:firstLineChars="200"/>
        <w:outlineLvl w:val="0"/>
        <w:rPr>
          <w:rFonts w:cs="宋体" w:asciiTheme="majorEastAsia" w:hAnsiTheme="majorEastAsia" w:eastAsiaTheme="majorEastAsia"/>
          <w:b/>
          <w:bCs/>
        </w:rPr>
      </w:pPr>
      <w:bookmarkStart w:id="254" w:name="_Toc31432"/>
      <w:r>
        <w:rPr>
          <w:rFonts w:hint="eastAsia" w:cs="宋体" w:asciiTheme="majorEastAsia" w:hAnsiTheme="majorEastAsia" w:eastAsiaTheme="majorEastAsia"/>
          <w:b/>
          <w:bCs/>
        </w:rPr>
        <w:t>第三章信贷方式与风险控制</w:t>
      </w:r>
      <w:bookmarkEnd w:id="25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能效信贷包括用能单位能效项目信贷和节能服务公司合同能源管理信贷两种方式。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（一）用能单位能效项目信贷是指银行业金融机构向用能单位投资的能效项目提供的信贷融资。用能单位是项目的投资人和借款人。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（二）合同能源管理信贷是指银行业金融机构向节能服务公司实施的合同能源管理项目提供的信贷融资。节能服务公司是项目的投资人和借款人。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合同能源管理是指节能服务公司与用能单位以合同形式约定节能项目的节能目标，节能服务公司为实现节能目标向用能单位提供必要的服务，用能单位以节能效益支付节能服务公司的投入及其合理利润的节能服务机制。合同能源管理包括节能效益分享型、节能量保证型、能源费用托管型、融资租赁型和混合型等类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节能服务公司是指提供用能状况诊断、能效项目设计、改造（施工、设备安装、调试）、运行管理等服务的专业化公司。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银行业金融机构应明确纳入能效信贷的相关能效项目、用能单位和节能服务公司的准入要求：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（一）能效项目所属产能应符合国家区域规划政策、产业发展政策和行业准入要求；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能效项目应具备技术可行性和经济可行性。技术可行是指已有类似技术成功实施并已推广应用，或虽属新技术但有充分依据可推广应用，或列入国家发展改革委国家重点节能低碳技术推广目录以及工业和信息化部、住房城乡建设部、交通运输部等有关部门节能技术、装备、产品目录，项目节能减排效果可测量、可报告和可核证。经济可行是指在预定期限内可通过节能效益回收投资，项目现金流具有可实现性、持续性和稳定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（三）用能单位经营合法合规，财务和资信情况良好，具有可持续经营能力，还款来源依靠能效项目产生的节能收益及其他合法还款来源；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合同能源管理中的用能单位除符合前项条件外，还需满足历史能耗数据较为完整或项目能耗基准线得到用能单位与节能服务公司一致认可，能源统计和管理制度健全并有效执行，有良好的节能效益支付能力和支付意愿等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（五）节能服务公司经营合法合规，掌握核心技术，具备合同能源管理专业人才和项目运作经验，财务和经营情况良好。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银行业金融机构应按照国家有关规定，综合考虑项目风险水平、借款人财务状况以及自身风险承受能力等因素，合理测算项目投资、融资需求，根据预测现金流和投资回收期合理确定贷款金额、贷款期限和还款计划。对于合同能源管理贷款要素的确定，还应合理评估合同能源管理项目的节能收益，充分考虑节能效果的季节性差异、设备检修、合同能源管理合同中规定的借款人节能收益分享比例、期限和支付方式等因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银行业金融机构应加强能效信贷尽职调查，全面了解、审查用能单位、节能服务公司、能效项目、节能服务合同等信息及风险点，包括但不限于以下内容：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（一）对借款人及能效项目进行严格的合规性审核，包括所需审批（或核准、备案）文件的真实性、完整性和相关程序的合法性，环境和社会风险管理的合规性，确认符合国家产业政策和环保法规；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（二）对借款人的财务状况、生产经营情况，借款人或能效项目所在地区节能减排的税收优惠和财政奖补相关政策的落实情况进行调查评估；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对节能服务公司享受政府优惠政策资格、被主管部门取消备案资格或列入负面清单、节能服务公司项目设计、实施和运营保障能力、技术团队及项目管理团队人员数量和资质、拥有的核心技术和专利、相关专业资质、已成功实施的合同能源管理项目、获得国家和地方财政奖励、主要设备供应商的产品质量、市场占有率及售后服务等情况进行调查评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对合同能源管理项目技术、设计目标、建设期限、投资总额、资金到位情况、经济效益测算、开工情况、工程进度等项目情况进行调查评估，了解未开工项目施工条件的具备情况，了解已建成项目的方案设计、合同执行、节能效益结算等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调查用能单位经营情况，包括在技术水平、产品质量、市场份额等方面的发展状况及在行业中所处的地位、财务状况、财务管理体系、节能效益支付能力、不良信用记录、能源统计和管理制度、历史能耗记录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审查节能服务合同中会对借款人偿债能力产生重大不利影响的条款，包括项目的操作模式、验收标准、期限及工期延误责任、基准能耗量、节能量计算与测量、节能效益计算与分配方法、付款条件、违约及争议处理等。审查借款人在节能服务合同项下的收款权利及权利转让或质押是否存在限制、是否存在对项目履约、付款等产生重大不利影响的条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（七）对于项目收益部分来源于碳资产交易或排放权交易的，应重点关注当地交易平台和主管部门相关政策，跟踪资产交易价格，合理评估权益价值。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能效项目涉及行业广泛，技术复杂且创新较快，银行业金融机构在办理能效信贷业务时，应对项目技术风险和节能效益进行评估，形成评估意见，并在评估意见中对以下内容进行重点分析和报告：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（一）能效项目所属产能是否属于国家明确限期淘汰或限产类型，项目的专项技术和关键设备是否处于示范应用或创新应用阶段，尚未进行大规模推广；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（二）项目实施方是否具备专项技术实施能力和同类项目施工经验，项目是否存在竣工风险；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（三）预测、评估节能效益的方法是否审慎、科学、合理；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（四）用能单位及时支付节能收益的承诺是否有约束力，项目经济性能否有效实现。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必要时，银行业金融机构可寻求合格、独立的节能监察机构、节能量审核机构等第三方机构和相关主管部门在项目技术和节能量评估等方面给予指导和支持。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合同能源管理信贷以借款人在节能服务合同项下的收款权利进行质押的，银行业金融机构应严格、规范办理应收账款质押登记手续，并加强对应收账款质押登记的后期跟踪与维护。</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银行业金融机构应加强能效信贷授信合同管理，当触发重大违约事件时，可通过约定相应的救济措施，包括追加担保、中止或终止贷款拨付、加速贷款回收、提前行使抵质押权等，落实风险管理措施。其中可以约定的重大违约事件包括但不限于：节能工程施工严重滞后，节能技术和设备出现严重缺陷，主体设施或设备停减产导致用能负荷大幅下降，实际节能量明显低于预测量，贷款挪用，节能收益不能及时回流指定账户，借款人参与民间高利借贷，未经贷款人同意对外担保或举借新债，主要财务指标严重恶化，贷款本息未能按时支付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银行业金融机构应加强能效信贷贷后管理，密切关注国家产业结构调整、节能减排政策变化和节能减排标准提高对授信企业和项目产生的实质性影响，定期对信贷风险进行评价，并建立信贷质量监控和风险预警制度。贷后管理主要包括现场核查和非现场管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现场核查要求定期赴企业和项目现场，掌握借款人整体经营情况，检查信贷资金实际用途，项目建设、竣工和运营状况，节能减排效果。对于合同能源管理信贷，还需考察用能单位的经营稳定性及其对项目服务的评价，并现场审核用能单位和节能服务公司双方共同确认的节能量确认表或第三方节能量审核报告（或通过财政奖励资金推算经政府认可的实际节能量），通过对比实际节能量与预测量，审核用能单位实际付款记录，判断合同能源管理信贷的还款来源的稳定性和可靠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非现场管控要求及时掌握国家产业调整及节能减排等政策最新调整情况，定期向借款人收集财务报表，评估财务状况变化情况。对于合同能源管理信贷，应建立管理台账制度，逐笔登记合同能源管理项目节能量、节能服务公司应分享收益、财政奖励资金、约定回款金额、实际分享收益和还本付息金额等，定期监测项目节能效益回款的连续性和稳定性。如发现项目出现重大异常，节能量远低于预测量，实际节能收益低于预期收益等情况，应按授信合同约定要求借款人增加担保措施、提前还贷、提前行使抵质押权等风险管理措施，降低风险。</w:t>
      </w:r>
    </w:p>
    <w:p>
      <w:pPr>
        <w:spacing w:after="156" w:afterLines="50" w:line="360" w:lineRule="auto"/>
        <w:ind w:firstLine="482" w:firstLineChars="200"/>
        <w:outlineLvl w:val="0"/>
        <w:rPr>
          <w:rFonts w:cs="宋体" w:asciiTheme="majorEastAsia" w:hAnsiTheme="majorEastAsia" w:eastAsiaTheme="majorEastAsia"/>
          <w:b/>
          <w:bCs/>
        </w:rPr>
      </w:pPr>
      <w:bookmarkStart w:id="255" w:name="_Toc1174"/>
      <w:r>
        <w:rPr>
          <w:rFonts w:hint="eastAsia" w:cs="宋体" w:asciiTheme="majorEastAsia" w:hAnsiTheme="majorEastAsia" w:eastAsiaTheme="majorEastAsia"/>
          <w:b/>
          <w:bCs/>
        </w:rPr>
        <w:t>第四章金融创新与激励约束</w:t>
      </w:r>
      <w:bookmarkEnd w:id="25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银行业金融机构应在做好风险防范的前提下加快能效信贷产品和服务创新，积极提供包括银行信贷、外国政府转贷款、债券承销、保理、融资租赁、引入投资基金等多种融资方式，扩大支持面，提高服务效率。积极探索以能效信贷为基础资产的信贷资产证券化试点工作，推动发行绿色金融债，扩大能效信贷融资来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银行业金融机构应积极探索能效信贷担保方式创新，以应收账款质押、履约保函、国际金融机构和国内担保公司的损失分担（或信用担保）、知识产权质押、股权质押等方式，有效缓解节能服务公司面临的有效担保不足、融资难的问题，同时确保风险可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银行业金融机构应加强能效信贷能力建设，提高能效信贷的风险识别和管理能力，积极开展能效信贷的培训，积累有关节能减排重点行业、节能环保技术专业知识，培养和引进具有金融和节能环保专业技术能力的复合型、专业型人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银行业金融机构应建立能效信贷推广和创新的激励约束机制，配备相应资源，提供内部激励政策，包括总行优先保证能效信贷专项规模，实施差异化经济资本分配和内部资金配套，加强内部考核评价，在风险可控的前提下，鼓励经营机构加大能效信贷投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银行业金融机构应将能效信贷理念贯穿于其他信贷业务之中，积极开展贷前能效筛查，主动向客户提供与改善能效有关的增值服务。对符合信贷条件，达到先进能效标准的固定资产和项目融资需求优先支持；对达不到国家能效标准的固定资产和项目融资需求，不予支持。</w:t>
      </w:r>
    </w:p>
    <w:p>
      <w:pPr>
        <w:spacing w:after="156" w:afterLines="50" w:line="360" w:lineRule="auto"/>
        <w:ind w:firstLine="482" w:firstLineChars="200"/>
        <w:outlineLvl w:val="0"/>
        <w:rPr>
          <w:rFonts w:cs="宋体" w:asciiTheme="majorEastAsia" w:hAnsiTheme="majorEastAsia" w:eastAsiaTheme="majorEastAsia"/>
          <w:b/>
          <w:bCs/>
        </w:rPr>
      </w:pPr>
      <w:bookmarkStart w:id="256" w:name="_Toc9772"/>
      <w:r>
        <w:rPr>
          <w:rFonts w:hint="eastAsia" w:cs="宋体" w:asciiTheme="majorEastAsia" w:hAnsiTheme="majorEastAsia" w:eastAsiaTheme="majorEastAsia"/>
          <w:b/>
          <w:bCs/>
        </w:rPr>
        <w:t>第五章附则</w:t>
      </w:r>
      <w:bookmarkEnd w:id="25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银行业金融机构向提高水资源和其他自然资源利用效率、降低二氧化碳和污染物排放的项目或从事相关服务的公司提供信贷融资，参照本指引执行。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本指引由中国银监会、国家发展和改革委员会负责解释。</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第二十三条 本指引自印发之日起施行。</w:t>
      </w:r>
    </w:p>
    <w:p>
      <w:pPr>
        <w:pStyle w:val="2"/>
        <w:numPr>
          <w:ilvl w:val="0"/>
          <w:numId w:val="0"/>
        </w:numPr>
        <w:ind w:left="922" w:leftChars="0" w:hanging="440" w:firstLineChars="0"/>
      </w:pPr>
      <w:bookmarkStart w:id="257" w:name="_Toc1327"/>
      <w:r>
        <w:rPr>
          <w:rFonts w:cs="宋体" w:asciiTheme="majorEastAsia" w:hAnsiTheme="majorEastAsia" w:eastAsiaTheme="majorEastAsia"/>
          <w:b/>
          <w:bCs/>
          <w:sz w:val="24"/>
          <w:szCs w:val="24"/>
          <w:lang w:val="en-US" w:eastAsia="zh-CN" w:bidi="ar-SA"/>
        </w:rPr>
        <w:t>63.</w:t>
      </w:r>
      <w:r>
        <w:rPr>
          <w:rFonts w:hint="eastAsia"/>
        </w:rPr>
        <w:t>《商业银行并购贷款风险管理指引》(2015修订)》</w:t>
      </w:r>
      <w:bookmarkEnd w:id="257"/>
    </w:p>
    <w:p>
      <w:pPr>
        <w:spacing w:after="156" w:afterLines="50" w:line="360" w:lineRule="auto"/>
        <w:ind w:firstLine="480" w:firstLineChars="200"/>
        <w:outlineLvl w:val="0"/>
        <w:rPr>
          <w:rFonts w:cs="宋体" w:asciiTheme="majorEastAsia" w:hAnsiTheme="majorEastAsia" w:eastAsiaTheme="majorEastAsia"/>
        </w:rPr>
      </w:pPr>
      <w:bookmarkStart w:id="258" w:name="_Toc21758"/>
      <w:r>
        <w:rPr>
          <w:rFonts w:hint="eastAsia" w:cs="宋体" w:asciiTheme="majorEastAsia" w:hAnsiTheme="majorEastAsia" w:eastAsiaTheme="majorEastAsia"/>
        </w:rPr>
        <w:t>发文机构：中国银行业监督管理委员会(已撤销)</w:t>
      </w:r>
      <w:bookmarkEnd w:id="258"/>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文号：银监发〔2015〕5号</w:t>
      </w:r>
    </w:p>
    <w:p>
      <w:pPr>
        <w:spacing w:after="156" w:afterLines="50" w:line="360" w:lineRule="auto"/>
        <w:ind w:firstLine="482" w:firstLineChars="200"/>
        <w:outlineLvl w:val="0"/>
        <w:rPr>
          <w:rFonts w:cs="宋体" w:asciiTheme="majorEastAsia" w:hAnsiTheme="majorEastAsia" w:eastAsiaTheme="majorEastAsia"/>
          <w:b/>
          <w:bCs/>
        </w:rPr>
      </w:pPr>
      <w:bookmarkStart w:id="259" w:name="_Toc16729"/>
      <w:r>
        <w:rPr>
          <w:rFonts w:hint="eastAsia" w:cs="宋体" w:asciiTheme="majorEastAsia" w:hAnsiTheme="majorEastAsia" w:eastAsiaTheme="majorEastAsia"/>
          <w:b/>
          <w:bCs/>
        </w:rPr>
        <w:t>第一章总则</w:t>
      </w:r>
      <w:bookmarkEnd w:id="259"/>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规范商业银行并购贷款经营行为，提高商业银行并购贷款风险管理能力，加强商业银行对经济结构调整和资源优化配置的支持力度，促进银行业公平竞争，维护银行业合法稳健运行，根据《中华人民共和国银行业监督管理法》、《中华人民共和国商业银行法》等法律法规，制定本指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本指引所称商业银行是指依照《中华人民共和国商业银行法》设立的商业银行法人机构。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本指引所称并购，是指境内并购方企业通过受让现有股权、认购新增股权，或收购资产、承接债务等方式以实现合并或实际控制已设立并持续经营的目标企业或资产的交易行为。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并购可由并购方通过其专门设立的无其他业务经营活动的全资或控股子公司（以下称子公司）进行。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本指引所称并购贷款，是指商业银行向并购方或其子公司发放的，用于支付并购交易价款和费用的贷款。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开办并购贷款业务的商业银行法人机构应当符合以下条件：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（一）有健全的风险管理和有效的内控机制；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（二）资本充足率不低于10%；</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（三）其他各项监管指标符合监管要求;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（四）有并购贷款尽职调查和风险评估的专业团队。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商业银行开办并购贷款业务前，应当制定并购贷款业务流程和内控制度，并向监管机构报告。商业银行开办并购贷款业务后，如发生不能持续满足上述条件之一的情况，应当停止办理新的并购贷款业务。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商业银行开办并购贷款业务应当遵循依法合规、审慎经营、风险可控、商业可持续的原则。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商业银行应制定并购贷款业务发展策略，充分考虑国家产业、土地、环保等相关政策，明确发展并购贷款业务的目标、客户范围、风险承受限额及其主要风险特征，合理满足企业兼并重组融资需求。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商业银行应按照管理强度高于其他贷款种类的原则建立相应的并购贷款管理制度和管理信息系统，确保业务流程、内控制度以及管理信息系统能够有效地识别、计量、监测和控制并购贷款的风险。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商业银行应按照监管要求建立并购贷款统计制度，做好并购贷款的统计、汇总、分析等工作。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银监会及其派出机构依法对商业银行并购贷款业务实施监督管理，发现商业银行不符合业务开办条件或违反本指引有关规定，不能有效控制并购贷款风险的，可根据有关法律法规采取责令商业银行暂停并购贷款业务等监管措施。</w:t>
      </w:r>
    </w:p>
    <w:p>
      <w:pPr>
        <w:spacing w:after="156" w:afterLines="50" w:line="360" w:lineRule="auto"/>
        <w:ind w:firstLine="482" w:firstLineChars="200"/>
        <w:outlineLvl w:val="0"/>
        <w:rPr>
          <w:rFonts w:cs="宋体" w:asciiTheme="majorEastAsia" w:hAnsiTheme="majorEastAsia" w:eastAsiaTheme="majorEastAsia"/>
          <w:b/>
          <w:bCs/>
        </w:rPr>
      </w:pPr>
      <w:bookmarkStart w:id="260" w:name="_Toc22366"/>
      <w:r>
        <w:rPr>
          <w:rFonts w:hint="eastAsia" w:cs="宋体" w:asciiTheme="majorEastAsia" w:hAnsiTheme="majorEastAsia" w:eastAsiaTheme="majorEastAsia"/>
          <w:b/>
          <w:bCs/>
        </w:rPr>
        <w:t>第二章风险评估</w:t>
      </w:r>
      <w:bookmarkEnd w:id="26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商业银行应在全面分析战略风险、法律与合规风险、整合风险、经营风险以及财务风险等与并购有关的各项风险的基础上评估并购贷款的风险。商业银行并购贷款涉及跨境交易的，还应分析国别风险、汇率风险和资金过境风险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商业银行评估战略风险，应从并购双方行业前景、市场结构、经营战略、管理团队、企业文化和股东支持等方面进行分析，包括但不限于以下内容：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（一）并购双方的产业相关度和战略相关性，以及可能形成的协同效应；</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（二）并购双方从战略、管理、技术和市场整合等方面取得额外回报的机会；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（三）并购后的预期战略成效及企业价值增长的动力来源；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（四）并购后新的管理团队实现新战略目标的可能性；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（五）并购的投机性及相应风险控制对策；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（六）协同效应未能实现时，并购方可能采取的风险控制措施或退出策略。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商业银行评估法律与合规风险，包括但不限于分析以下内容：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（一）并购交易各方是否具备并购交易主体资格；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（二）并购交易是否按有关规定已经或即将获得批准，并履行必要的登记、公告等手续；</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（三）法律法规对并购交易的资金来源是否有限制性规定；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（四）担保的法律结构是否合法有效并履行了必要的法定程序；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（五）借款人对还款现金流的控制是否合法合规；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（六）贷款人权利能否获得有效的法律保障；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（七）与并购、并购融资法律结构有关的其他方面的合规性。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商业银行评估整合风险，包括但不限于分析并购双方是否有能力通过以下方面的整合实现协同效应：</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（一）发展战略整合；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（二）组织整合；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（三）资产整合；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（四）业务整合；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（五）人力资源及文化整合。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商业银行评估经营及财务风险，包括但不限于分析以下内容：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（一）并购后企业经营的主要风险，如行业发展和市场份额是否能保持稳定或增长趋势,公司治理是否有效，管理团队是否稳定并且具有足够能力，技术是否成熟并能提高企业竞争力，财务管理是否有效等；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（二）并购双方的未来现金流及其稳定程度；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（三）并购股权（或资产）定价高于目标企业股权（或资产）合理估值的风险；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（四）并购双方的分红策略及其对并购贷款还款来源造成的影响；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（五）并购中使用的债务融资工具及其对并购贷款还款来源造成的影响；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（六）汇率和利率等因素变动对并购贷款还款来源造成的影响。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应当综合考虑上述风险因素，根据并购双方经营和财务状况、并购融资方式和金额等情况，合理测算并购贷款还款来源，审慎确定并购贷款所支持的并购项目的财务杠杆率，确保并购的资金来源中含有合理比例的权益性资金，防范高杠杆并购融资带来的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商业银行应在全面分析与并购有关的各项风险的基础上，建立审慎的财务模型，测算并购双方未来财务数据，以及对并购贷款风险有重要影响的关键财务杠杆和偿债能力指标。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商业银行应在财务模型测算的基础上，充分考虑各种不利情形对并购贷款风险的影响。不利情形包括但不限于：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（一）并购双方的经营业绩（包括现金流）在还款期内未能保持稳定或增长趋势；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（二）并购双方的治理结构不健全，管理团队不稳定或不能胜任；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（三）并购后并购方与目标企业未能产生协同效应；</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（四）并购方与目标企业存在关联关系，尤其是并购方与目标企业受同一实际控制人控制的情形。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商业银行应在全面评估并购贷款风险的基础上，确认并购交易的真实性，综合判断借款人的还款资金来源是否充足，还款来源与还款计划是否匹配，借款人是否能够按照合同约定支付贷款利息和本金等，并提出并购贷款质量下滑时可采取的应对措施或退出策略,形成贷款评审报告。</w:t>
      </w:r>
    </w:p>
    <w:p>
      <w:pPr>
        <w:spacing w:after="156" w:afterLines="50" w:line="360" w:lineRule="auto"/>
        <w:ind w:firstLine="482" w:firstLineChars="200"/>
        <w:outlineLvl w:val="0"/>
        <w:rPr>
          <w:rFonts w:cs="宋体" w:asciiTheme="majorEastAsia" w:hAnsiTheme="majorEastAsia" w:eastAsiaTheme="majorEastAsia"/>
          <w:b/>
          <w:bCs/>
        </w:rPr>
      </w:pPr>
      <w:bookmarkStart w:id="261" w:name="_Toc30913"/>
      <w:r>
        <w:rPr>
          <w:rFonts w:hint="eastAsia" w:cs="宋体" w:asciiTheme="majorEastAsia" w:hAnsiTheme="majorEastAsia" w:eastAsiaTheme="majorEastAsia"/>
          <w:b/>
          <w:bCs/>
        </w:rPr>
        <w:t>第三章风险管理</w:t>
      </w:r>
      <w:bookmarkEnd w:id="261"/>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商业银行全部并购贷款余额占同期本行一级资本净额的比例不应超过50%。</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商业银行应按照本行并购贷款业务发展策略，分别按单一借款人、集团客户、行业类别、国家或地区对并购贷款集中度建立相应的限额控制体系，并向银监会或其派出机构报告。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商业银行对单一借款人的并购贷款余额占同期本行一级资本净额的比例不应超过5%。</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并购交易价款中并购贷款所占比例不应高于60%。</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并购贷款期限一般不超过七年。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 商业银行应具有与本行并购贷款业务规模和复杂程度相适应的熟悉并购相关法律、财务、行业等知识的专业人员。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 商业银行应在内部组织并购贷款尽职调查和风险评估的专业团队，对本指引第十一条到第十七条的内容进行调查、分析和评估，并形成书面报告。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前款所称专业团队的负责人应有3年以上并购从业经验，成员可包括但不限于并购专家、信贷专家、行业专家、法律专家和财务专家等。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 商业银行应在并购贷款业务受理、尽职调查、风险评估、合同签订、贷款发放、贷后管理等主要业务环节以及内部控制体系中加强专业化的管理与控制。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 商业银行受理的并购贷款申请应符合以下基本条件：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（一）并购方依法合规经营，信用状况良好，没有信贷违约、逃废银行债务等不良记录；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（二）并购交易合法合规，涉及国家产业政策、行业准入、反垄断、国有资产转让等事项的，应按相关法律法规和政策要求，取得有关方面的批准和履行相关手续；</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（三）并购方与目标企业之间具有较高的产业相关度或战略相关性，并购方通过并购能够获得目标企业的研发能力、关键技术与工艺、商标、特许权、供应或分销网络等战略性资源以提高其核心竞争能力。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 商业银行可根据并购交易的复杂性、专业性和技术性，聘请中介机构进行有关调查并在风险评估时使用该中介机构的调查报告。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有前款所述情形的，商业银行应建立相应的中介机构管理制度，并通过书面合同明确中介机构的法律责任。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 并购方与目标企业存在关联关系的，商业银行应当加强贷前调查，了解和掌握并购交易的经济动机、并购双方整合的可行性、协同效应的可能性等相关情况，核实并购交易的真实性以及并购交易价格的合理性，防范关联企业之间利用虚假并购交易套取银行信贷资金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 商业银行原则上应要求借款人提供充足的能够覆盖并购贷款风险的担保，包括但不限于资产抵押、股权质押、第三方保证，以及符合法律规定的其他形式的担保。以目标企业股权质押时，商业银行应采用更为审慎的方法评估其股权价值和确定质押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第三十条 商业银行应根据并购贷款风险评估结果，审慎确定借款合同中贷款金额、期限、利率、分期还款计划、担保方式等基本条款的内容。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第三十一条 商业银行应在借款合同中约定保护贷款人利益的关键条款，包括但不限于：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（一）对借款人或并购后企业重要财务指标的约束性条款；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（二）对借款人特定情形下获得的额外现金流用于提前还款的强制性条款；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（三）对借款人或并购后企业的主要或专用账户的监控条款；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（四）确保贷款人对重大事项知情权或认可权的借款人承诺条款。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第三十二条 商业银行应通过本指引第三十一条所述的关键条款约定在并购双方出现以下情形时可采取的风险控制措施：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（一）重要股东的变化；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（二）经营战略的重大变化；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（三）重大投资项目变化；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（四）营运成本的异常变化；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（五）品牌、客户、市场渠道等的重大不利变化；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（六）产生新的重大债务或对外担保；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（七）重大资产出售；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（八）分红策略的重大变化；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（九）担保人的担保能力或抵质押物发生重大变化；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（十）影响企业持续经营的其他重大事项。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第三十三条 商业银行应在借款合同中约定提款条件以及与贷款支付使用相关的条款，提款条件应至少包括并购方自筹资金已足额到位和并购合规性条件已满足等内容。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商业银行应按照借款合同约定，加强对贷款资金的提款和支付管理，做好资金流向监控，防范关联企业借助虚假并购交易套取贷款资金，确保贷款资金不被挪用。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第三十四条 商业银行应在借款合同中约定，借款人有义务在贷款存续期间定期报送并购双方、担保人的财务报表以及贷款人需要的其他相关资料。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第三十五条 商业银行在贷款存续期间，应加强贷后检查，及时跟踪并购实施情况，定期评估并购双方未来现金流的可预测性和稳定性，定期评估借款人的还款计划与还款来源是否匹配，对并购交易或者并购双方出现异常情况的，及时采取有效措施保障贷款安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并购方与目标企业存在关联关系的，商业银行应加大贷后管理力度，特别是应确认并购交易得到实际执行以及并购方对目标企业真正实施整合。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第三十六条 商业银行在贷款存续期间，应密切关注借款合同中关键条款的履行情况。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第三十七条 商业银行应按照不低于其他贷款种类的频率和标准对并购贷款进行风险分类和计提拨备。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第三十八条 并购贷款出现不良时，商业银行应及时采取贷款清收、保全，以及处置抵质押物、依法接管企业经营权等风险控制措施。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第三十九条 商业银行应明确并购贷款业务内部报告的内容、路线和频率，并应至少每年对并购贷款业务的合规性和资产价值变化进行内部检查和独立的内部审计，对其风险状况进行全面评估。当出现并购贷款集中度趋高、贷款风险分类趋降等情形时，商业银行应提高内部报告、检查和评估的频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第四十条 商业银行在并购贷款的不良贷款额或不良率上升时应加强对以下内容的报告、检查和评估：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（一）并购贷款担保的方式、构成和覆盖贷款本息的情况；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（二）针对不良贷款所采取的清收和保全措施；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（三）处置质押股权的情况；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（四）依法接管企业经营权的情况；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（五）并购贷款的呆账核销情况。</w:t>
      </w:r>
    </w:p>
    <w:p>
      <w:pPr>
        <w:spacing w:after="156" w:afterLines="50" w:line="360" w:lineRule="auto"/>
        <w:ind w:firstLine="482" w:firstLineChars="200"/>
        <w:outlineLvl w:val="0"/>
        <w:rPr>
          <w:rFonts w:cs="宋体" w:asciiTheme="majorEastAsia" w:hAnsiTheme="majorEastAsia" w:eastAsiaTheme="majorEastAsia"/>
          <w:b/>
          <w:bCs/>
        </w:rPr>
      </w:pPr>
      <w:bookmarkStart w:id="262" w:name="_Toc19513"/>
      <w:r>
        <w:rPr>
          <w:rFonts w:hint="eastAsia" w:cs="宋体" w:asciiTheme="majorEastAsia" w:hAnsiTheme="majorEastAsia" w:eastAsiaTheme="majorEastAsia"/>
          <w:b/>
          <w:bCs/>
        </w:rPr>
        <w:t>第四章附则</w:t>
      </w:r>
      <w:bookmarkEnd w:id="26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第四十一条 商业银行贷款支持已获得目标企业控制权的并购方企业，为维持对目标企业的控制权而受让或者认购目标企业股权的，适用本指引。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第四十二条 政策性银行、外国银行分行和企业集团财务公司开办并购贷款业务的，参照本指引执行。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第四十三条 本指引所称并购双方是指并购方与目标企业。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第四十四条 本指引由中国银监会负责解释。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第四十五条 本指引自印发之日起施行。《中国银监会关于印发&lt;商业银行并购贷款风险管理指引&gt;的通知》(银监发〔2008〕84号)同时废止。</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p>
    <w:p>
      <w:pPr>
        <w:pStyle w:val="2"/>
        <w:numPr>
          <w:ilvl w:val="0"/>
          <w:numId w:val="0"/>
        </w:numPr>
        <w:ind w:left="922" w:leftChars="0" w:hanging="440" w:firstLineChars="0"/>
      </w:pPr>
      <w:bookmarkStart w:id="263" w:name="_Toc17695"/>
      <w:r>
        <w:rPr>
          <w:rFonts w:cs="宋体" w:asciiTheme="majorEastAsia" w:hAnsiTheme="majorEastAsia" w:eastAsiaTheme="majorEastAsia"/>
          <w:b/>
          <w:bCs/>
          <w:sz w:val="24"/>
          <w:szCs w:val="24"/>
          <w:lang w:val="en-US" w:eastAsia="zh-CN" w:bidi="ar-SA"/>
        </w:rPr>
        <w:t>64.</w:t>
      </w:r>
      <w:r>
        <w:rPr>
          <w:rFonts w:hint="eastAsia"/>
        </w:rPr>
        <w:t>《关于妥善解决地方政府融资平台公司在建项目后续融资问题的意见》</w:t>
      </w:r>
      <w:bookmarkEnd w:id="263"/>
    </w:p>
    <w:p>
      <w:pPr>
        <w:spacing w:after="156" w:afterLines="50" w:line="360" w:lineRule="auto"/>
        <w:ind w:firstLine="480" w:firstLineChars="200"/>
        <w:rPr>
          <w:rFonts w:cs="宋体" w:asciiTheme="majorEastAsia" w:hAnsiTheme="majorEastAsia" w:eastAsiaTheme="majorEastAsia"/>
          <w:kern w:val="2"/>
        </w:rPr>
      </w:pPr>
      <w:r>
        <w:rPr>
          <w:rFonts w:hint="eastAsia" w:cs="宋体" w:asciiTheme="majorEastAsia" w:hAnsiTheme="majorEastAsia" w:eastAsiaTheme="majorEastAsia"/>
          <w:kern w:val="2"/>
        </w:rPr>
        <w:t>发文机构：国务院办公厅文号：国办发〔2015〕40号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全面落实《国务院关于加强地方政府性债务管理的意见》（国发〔2014〕43号）要求，依法合规积极支持融资平台公司在建项目后续融资，确保在建项目有序推进，切实满足实体经济的合理融资需求，有效防范和化解财政金融风险，现就妥善解决地方政府融资平台公司在建项目后续融资问题提出以下意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一、总体要求和适用范围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（一）总体要求。地方各级政府和银行业金融机构要妥善处理融资平台公司在建项目后续融资问题，区分存量和增量实施分类管理，依法合规进行融资，切实满足促进经济发展和防范财政金融风险的需要。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适用范围。融资平台公司是指由地方政府及其部门和机构等通过财政拨款或注入土地、股权等资产设立，承担政府投资项目融资功能，并拥有独立法人资格的经济实体。在建项目是指在国发〔2014〕43号文件成文日期（2014年9月21日）之前，经相关投资主管部门依照有关规定完成审批、核准或备案手续，并已开工建设的项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二、重点任务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支持在建项目的存量融资需求。地方各级政府和银行业金融机构要按照总量控制、区别对待的原则，支持融资平台公司在建项目的存量融资需求，确保在建项目有序推进。对于在2014年12月31日前已签订具有法律效力的借款合同并已放款，但合同尚未到期的融资平台公司在建项目贷款，银行业金融机构要在全面把控风险、落实信贷条件的前提下，继续按照合同约定发放贷款，不得盲目抽贷、压贷、停贷。对于在2014年12月31日前已签订具有法律效力的借款合同，且合同到期的融资平台公司在建项目贷款，如果项目自身运营收入不足以还本付息，银行业金融机构可与地方政府、融资平台公司协商，在后续借款与前期借款合同约定的责任一致，且确保借款合同金额不增加的前提下，重新修订借款合同，合理确定贷款期限，补充合格有效抵质押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规范实施在建项目的增量融资。地方各级政府要密切关注融资平台公司在建项目中应由财政支持的增量融资需求，在依法合规、规范管理的前提下，统筹财政资金和社会资本等各类资金，保障在建项目续建和收尾。对于已签合同贷款额不能满足建设需要，且适宜采取政府和社会资本合作模式的融资平台公司在建项目，优先采取政府和社会资本合作模式，弥补在建项目增量融资需求。对于已签合同贷款额不能满足建设需要，且符合国家有关规定并确实没有其他建设资金来源，但又暂时不宜转为政府和社会资本合作模式的融资平台公司在建项目，增量融资需求纳入政府预算管理，由地方政府按法律要求和有关规定发行政府债券解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切实做好在建项目后续融资管理工作。银行业金融机构要兼顾促发展和防风险，严格规范信贷管理，切实加强风险识别和风险控制。对于融资平台公司在建项目贷款，银行业金融机构要在审慎测算融资平台公司还款能力和在建项目收益、综合考虑地方政府偿债能力的基础上，自主决策、自担风险，切实做好后续融资管理工作。银行业金融机构要认真审查贷款投向，重点支持农田水利设施、保障性安居工程、城市轨道交通等领域的融资平台公司在建项目，确保贷款符合产业发展需要和产业园区发展规划。</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完善配套措施。对地方政府按法律要求和有关规定发行政府债券解决的在建项目后续融资，在保障财政支出需要的前提下，对于有相应政府债券发行额度，且本地区国库库款余额超过一个半月库款支付保障水平的地区，允许地方财政部门在政府债券发行额度内，加大盘活以前年度存量财政资金力度，利用超出部分的国库库款用于政府债券发行之前的资金周转，以解决在建项目融资与政府债券发行之间的时间差问题。地方财政部门在动用国库库款用于资金周转前，须报经本级人民政府批准，并抄送同级人大有关机构和有关单位。地方财政部门在完成政府债券发行之后，要及时将资金全部收回国库。财政部、发展改革委、人民银行、银监会等有关部门要加强地方政府性债务信息共享，密切监测债务变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三、组织实施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（七）加强组织领导。地方各级人民政府、各有关部门要从大局出发，充分认识做好融资平台公司在建项目后续融资工作的重要性，统一思想，加强领导，结合本地区、本部门实际认真抓好落实。</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密切协同推进。财政部、人民银行要加强财政政策和货币政策的协调配合，为地方政府发行债券创造良好的市场环境。财政部要制定出台地方政府债券配套管理办法，加强对地方政府债券发行和使用工作的组织领导。银监会要加强监管、正确引导，推动银行业金融机构在依法合规、有效防范风险的前提下，做好融资平台公司在建项目后续融资工作，并将本意见传达至各银行业金融机构。各有关部门要切实履行职责，强化政策协同，共同做好融资平台公司在建项目后续融资相关工作，确保政策及时落实到位。</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（九）关于地方政府融资平台公司在建项目后续融资问题，国务院另有规定的，从其规定。</w:t>
      </w:r>
    </w:p>
    <w:p>
      <w:pPr>
        <w:pStyle w:val="2"/>
        <w:numPr>
          <w:ilvl w:val="0"/>
          <w:numId w:val="0"/>
        </w:numPr>
        <w:ind w:left="922" w:leftChars="0" w:hanging="440" w:firstLineChars="0"/>
      </w:pPr>
      <w:bookmarkStart w:id="264" w:name="_Toc29172"/>
      <w:r>
        <w:rPr>
          <w:rFonts w:cs="宋体" w:asciiTheme="majorEastAsia" w:hAnsiTheme="majorEastAsia" w:eastAsiaTheme="majorEastAsia"/>
          <w:b/>
          <w:bCs/>
          <w:sz w:val="24"/>
          <w:szCs w:val="24"/>
          <w:lang w:val="en-US" w:eastAsia="zh-CN" w:bidi="ar-SA"/>
        </w:rPr>
        <w:t>65.</w:t>
      </w:r>
      <w:r>
        <w:rPr>
          <w:rFonts w:hint="eastAsia"/>
        </w:rPr>
        <w:t>《中国银监会关于银行业进一步做好服务实体经济发展工作的指导意见》</w:t>
      </w:r>
      <w:bookmarkEnd w:id="26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文号：银监发〔2015〕25号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各银监局，机关各部门，各政策性银行、大型银行、股份制银行，邮储银行，外资银行，金融资产管理公司，其他会管金融机构，各协会：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深入贯彻落实党中央国务院关于金融支持实体经济发展的决策部署，持续改进和强化银行业服务实体经济能力，推动经济转型和结构调整.更好地适应并服务经济新常态，现就银行业进一步做好服务实体经济发展工作提出以下指导意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一、明确形势任务，增强服务实体经济的主动性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银行业与实体经济相互依存、同枯共荣。当前我国已进入经济发展新常态，银行业金融机构要深刻认识经济发展的变化特征和运行趋势，主动增强服务实体经济的使命感和责任感，既要积极应对新常态下的风险挑战，更要把握好新机遇，在更好服务实体经济的同时实现银行业新发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银行业服务实体经济应统筹兼顾、因地制宜。一要将支持实体经济与自身可持续发展有机结合，将金融服务供给与实体经济有效需求对接，增强金融服务能力。二要将推动经济结构调整与自身发展转型有机结合，根据经济结构优化升级进程，结合自身特点，推进业务结构和经营模式转型。三要将金融创新与防范风险有机结合，紧跟大众创业、万众创新时代步伐，有效管控风险，大力推动金融创新健康发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银行业服务实体经济应综合施策、主动作为。要探索改进方式方法，进一步提高资金配置效率，优化资金投向。要多个环节综合发力，进一步提升金融服务质效，不断拓展金融服务覆盖面。要全面提升资产负债管理能力，进一步盘活信贷存量。要多措并举，进一步减轻企业负担。要严守风险底线，进一步提高风险防控能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二、坚持稳增长与调结构并重，提高资金配置效率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保持信贷平稳较快增长。银行业金融机构要坚持金融服务实体经济的本质要求。进一步提高信贷管理水平，合理把握信贷投放的总量和节奏，切实满足实体经济有效信贷需求。对于暂时遇到困难，但符合产业政策、有市场、有效益的企业，要继续支持其合理的信贷需求，避免“一刀切”式的抽贷、停贷、压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提高信贷资金供给和配置效率。做好民营银行常态化申设工作，推进政策性银行改革，支持符合条件的民间资本发起设立消费金融公司、金融租赁公司等非银行金融机构，深化农村信用社改革，加快推进村镇银行本地化、民营化和专业化发展，有效增加金融服务的竞争性供给和提高资金配置效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积极支持培育经济发展中的新产业、新动能、新力量。银行业金融机构要围绕战略性新兴产业和新兴业态发展需求，结合“互联网+”时代特征，加快业务模式、机制、流程和产品创新，提高精细化管理水平。探索建立健全以投贷联动为核心的金融服务模式，鼓励有条件的银行设立科技信贷专营事业部，提高服务科技创新创业企业的专业化水平。运用互联网、大数据、云计算等新技术，促进金融与互联网融合创新，为大众创业、万众创新提供多元化金融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发展绿色信贷，大力化解过剩产能。银行业金融机构要建立绿色信贷长效机制，支持符合国家产业政策和行业标准的能效项目，促进节能环保行业发展。按照区别对待、有保有控的原则，加大对产能过剩行业兼并重组、转型转产、技术改造等环节的信贷支持，促进化解过剩产能和传统产业转型升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三、坚持支持重点领域与支持薄弱环节并重，增强金融服务能力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加强重点领域金融支持，主动对接重大国家战略实施和重大工程项目建设，提供综合性金融服务。一是支持七大领域重大工程项目建设，包括：棚户区和危房改造、城市地下管网等重大民生项目，中西部铁路和公路、内河航道等重大交通项目，水利、高标准农田等农业项目，信息、电力、油气等重大网络项目，清洁能源及油气矿产资源保障项目，传统产业技术改造等项目，节能环保和生态建设项目。二是支持六大消费增长点培育，包括：养老家政健康消费、信息消费、旅游休闲消费、绿色消费、住房消费、教育文化体育消费等。三是支持三大战略实施，紧跟“一带一路”、京津冀协同发展、长江经济带发展三大战略，加大对重点项目和重大工程的信贷投放力度。四是支持装备制造业“走出去”，推进国际产能务实合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发展普惠金融，加大薄弱领域支特力度，不断提升金融服务的覆盖面、可得性和便利度。一是全面贯彻落实国务院支持小微企业和“三农”发展的各项政策措施，鼓励商业银行在小微企业集群地区设立小微专营支行，推动信贷资源继续向小微企业、“三农”倾斜。努力实现小微企业贷款“三个不低于”的目标，即贷款增速不低于各项贷款平均增速，小微企业贷款户数不低于上年同期户数，小微企业申贷获得率不低于上年同期水平；努力实现涉农贷款增速高于各项贷款平均增速。二是制定普惠金融发展规划，着力发展民生金融业务，改进城市低收入居民、残疾人等城乡特殊群体金融服务，强化金融消费者教育宣传，持续推进农村基础金融服务全覆盖工作。三是创新金融服务方式和手段，拓展抵押品范围，有效解决小微企业尤其是涉农、科技型企业传统抵押物不足问题，探索大银行向中小银行提供批发贷款支持小微企业和“三农”发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四、坚持用好增量与盘活存量并重，加快资金周转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(一)推进信货资产证券化和信贷资产流转业务。扩大信贷资产证券化发起机构范围和基础资产范围，推进由信贷资产登记流转中心开展的信贷资产流转业务登记工作，加快信贷资产流转。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(二)加大不良资产处置核销力度。银行业金融机构要用足贷款核销等政策空间，加快不良资产处置，积极采用市场化手段，多渠道、批量化处置不良资产，为新增贷款腾出空间。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积极盘活信贷存量，提高资金周转速度。银行业金融机构要在加强风险防控的前提下，通过回收再贷、贷款重组、发放并购贷款以及推动低效企业兼并重组等方式，提高存量资金使用效率，充分盘活沉淀在低效领域的信贷资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五、坚持缓解融资难与融资贵并重，减轻企业负担</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业金融机构要认真贯彻落实《国务院办公厅关于多措并举着力缓解企业融资成本高问题的指导意见》(国办发〔2014〕39号)和《国务院办公厅关于印发进一步缓解企业融资成本高问题工作方案的通知》(国办函〔2014〕105号)等改善续贷管理、清理规范收费各项要求，推进缓解企业融资难融资贵问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切实解决好企业续货问题。根据《中国银监会关于完善和创新小微企业贷款服务提高小微企业金融服务水平的通知》(银监发〔2014〕36号)等要求，制定完善小微企业续贷政策实施细则，创新小微企业流动资金贷款服务模式，丰富业务品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加强存贷款定价管理。根据客户敏感度、产业特征、市场竟争等实施精细化定价，合理确定利率水平，严格落实不准以贷转存、不准存贷挂钩等“七不准”、“四公开”要求，不得以借款人非自愿申请的承兑汇票代替贷款发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(三)进一步清理和规范收费项目。按照《商业银行服务价格管理办法》等规定，坚决取消不合理收费项目，降低过高的收费标准。开展银行收费专项检查，进一步清理规范服务收费，严厉惩处乱收费行为。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完善科学的绩效考核机制。银行业金融机构要严格执行绩效考评监管指引等规定.科学设置规模、利润、中间业务等指标，不得设立时点性存款规模考核指标，取消不合理的中间业务收入考核，加强分支机构绩效考核管理，避免单纯追求效益、盲目追求规模的短期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(五)缩短企业融资链条。清理不必要的资金“通道”和“过桥”环节，继续落实好同业、理财、信托等业务监管要求，清理层层加码加价行为。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有效运用信货风险分担机制。银行业金融机构要加强与地方政府、担保机构、担保基金、再担保机构等的沟通合作，推动地方政府加大政策扶持力度，从贷前增信、贷中担保和贷后风险补偿等多个环节发力，强化信贷风险分担。</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六、坚持支持实体经济与防控金融风险并重，坚守风险底线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银行业金融机构要坚持服务实体经济和防范自身风险并重，将风险管理关口前移到业务拓展阶段，及时识别风险，有效化解风险，坚决守住不发生系统性区域性风险底线。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防范信用风险与防范流动性风险相结合。做好信贷资产分类管理，妥善化解存量风险，控制好增量业务风险，加强地方政府融资平台、房地产等领域的风险防控。有效运用现金流预测分析、压力测试等方法，探索多元化主动负债渠道，提高流动性风险管理的精细化程度。各级监管部门要做好风险排查和提前预警，严防发生重大流动性风险事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(二)防范表内风险与防范表外风险相结合。强化各类非标债权业务治理，完善全口径、全流程风险管理。规范业务发展和会计科目核算，完善表内外统一授信管理，加强项目风险管理。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防范自身风险与防范传染性风险相结合。银行业金融机构要切实履行风险管理第一责任人义务，完善和改进内控合规管理，做实风险防控机制。做好信贷客户管理、内部员工管理以及宣传教育，对涉及非法集资和民间高利贷的情况加强排查，防范外部风险传染。各级监管部门要严防社会金融风险向银行业传染，坚持防打结合、以防为主，严厉打击非法集资，妥善处置已暴露的非法集资事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防范单体机构风险与防范整体风险相结合。银行业金融机构要加强协作，有效识别和化解担保圈、担保链业务风险，充分利用政府补偿基金、政策性担保公司、优质抵质押品等担保方式，替代担保圈内企业间关联担保。将担保圈识别嵌入信贷业务流程，在保证贷款贷前调查审查阶段必查关联担保关系和涉及担保圈情况，贷款合同中对借款人后续担保行为要进行适当限制，从源头上管控担保圈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七、强化机制建设，确保政策落地生效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落实责任，疏通政策传导机制。银行业金融机构要根据党中央国务院的决策部署，更加注重政策落实，明确责任主体和任务要求，制定具体实施细则，切实将支持实体经济发展的各项政策措施执行到位。各级监管部门要积极主动，通过实地调研、严格督查等方式，着力疏通政策传导机制，推动政策措施落地生根、发挥实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突出重点，完善创新激励机制。银行业金融机构和各级监管部门要围绕服务实体经济发展政策措施的有效性，坚持问题导向，找准关键环节，突出重点问题，采取针对性措施，逐一攻破。同时，要结合经济发展新常态、新需求，建立科学有效的金融创新激励机制，不断改进和创新金融服务方式和手段，全面提升金融服务能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定期自查，健全评估反馈机制。银行业金融机构要定期对政策实施开展自查自评，及时反馈实施进展和面临的问题，上下联动，提高服务实体经济成效。要发挥主观能动性，认真学习借鉴新常态下金融支持实体经济发展的良好实践和做法，及时总结推广可复制的先进经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中国银行业监督管理委员会</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2015年5月27日</w:t>
      </w:r>
    </w:p>
    <w:p>
      <w:pPr>
        <w:pStyle w:val="2"/>
        <w:numPr>
          <w:ilvl w:val="0"/>
          <w:numId w:val="0"/>
        </w:numPr>
        <w:ind w:left="922" w:leftChars="0" w:hanging="440" w:firstLineChars="0"/>
      </w:pPr>
      <w:bookmarkStart w:id="265" w:name="_Toc4239"/>
      <w:r>
        <w:rPr>
          <w:rFonts w:cs="宋体" w:asciiTheme="majorEastAsia" w:hAnsiTheme="majorEastAsia" w:eastAsiaTheme="majorEastAsia"/>
          <w:b/>
          <w:bCs/>
          <w:sz w:val="24"/>
          <w:szCs w:val="24"/>
          <w:lang w:val="en-US" w:eastAsia="zh-CN" w:bidi="ar-SA"/>
        </w:rPr>
        <w:t>66.</w:t>
      </w:r>
      <w:r>
        <w:rPr>
          <w:rFonts w:hint="eastAsia"/>
        </w:rPr>
        <w:t>《中国银监会办公厅关于银行业信贷资产流转集中登记的通知》</w:t>
      </w:r>
      <w:bookmarkEnd w:id="26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文号：银监办发[2015]108号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各银监局，各政策性银行、大型银行、股份制银行，邮储银行，外资银行，金融资产管理公司，其他会管金融机构，银行业信贷资产登记流转中心：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根据国务院提出的“盘活货币信贷存量,支持实体经济转型升级”的工作要求，为进一步规范信贷资产流转业务,完善非现场监管，决定开展银行业信贷资产流转集中登记工作。现就有关事项通知如下：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银行业金融机构开展信贷资产流转业务，即将所持有的信贷资产及对应的受益权进行转让，应实施集中登记，以促进信贷资产流转规范化、透明化，实现对信贷资产流向的跟踪监测。鉴于当前银行业金融机构开展的信贷资产流转规模较大、交易结构复杂多样，应本着先易后难、循序渐进的原则推进集中登记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银行业信贷资产登记流转中心（以下简称“信贷资产登记中心”）承担信贷资产集中登记职能。信贷资产登记中心应本着为市场服务的宗旨，制定相关登记规则，明确实施细则和操作流程，建立安全、高效运行的技术系统，完善软、硬件设施，充分发挥金融基础设施机构的作用。各银行业金融机构应规范业务流程，做好技术准备，健全风险管控，确保信贷资产流转集中登记工作有序开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信贷资产登记中心应保障信贷资产登记的准确性、及时性、完整性；为银行业金融机构提供必要的技术支持和相关服务；确保登记客户信息的保密安全；严格履行日常监测和统计职责，服务于银监会的非现场监管要求；根据监管要求定期提交登记情况报告，促进银行业金融机构信贷资产流转健康、有序开展。</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2015年6月25日</w:t>
      </w:r>
    </w:p>
    <w:p>
      <w:pPr>
        <w:pStyle w:val="2"/>
        <w:numPr>
          <w:ilvl w:val="0"/>
          <w:numId w:val="0"/>
        </w:numPr>
        <w:ind w:left="922" w:leftChars="0" w:hanging="440" w:firstLineChars="0"/>
      </w:pPr>
      <w:bookmarkStart w:id="266" w:name="_Toc16990"/>
      <w:r>
        <w:rPr>
          <w:rFonts w:cs="宋体" w:asciiTheme="majorEastAsia" w:hAnsiTheme="majorEastAsia" w:eastAsiaTheme="majorEastAsia"/>
          <w:b/>
          <w:bCs/>
          <w:sz w:val="24"/>
          <w:szCs w:val="24"/>
          <w:lang w:val="en-US" w:eastAsia="zh-CN" w:bidi="ar-SA"/>
        </w:rPr>
        <w:t>67.</w:t>
      </w:r>
      <w:r>
        <w:rPr>
          <w:rFonts w:hint="eastAsia"/>
        </w:rPr>
        <w:t>《中国银监会关于进一步落实小微企业金融服务监管政策的通知》</w:t>
      </w:r>
      <w:bookmarkEnd w:id="26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文号：银监发〔2015〕38号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各银监局，各政策性银行、大型银行、股份制银行，邮储银行: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目前，小微企业融资难、融资贵问题依然突出。为进一步落实各项监管扶持政策，持续改善和深化小微企业金融服务，现就有关工作要求通知如下：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一、坚持问题导向，确保政策落地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小微企业发展对稳增长、调结构、保就业、惠民生具有重要意义。银行业金融机构应进一步深化认识银行业与实体经济“一荣俱荣、一损俱损”的关系，持续改进小微企业金融服务。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当前部分银行业金融机构在小微企业金融服务方面还存在监管政策落实不到位，信贷投放、产品销售和服务收费不规范，内部考核和激励制度建设不到位等问题。银行业金融机构要认真对照现有监管政策，逐条梳理，加强整改，全面改善小微企业金融服务体制机制，规范经营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要积极顺应新常态下经济金融环境的发展变化，为小微企业“雪中送炭”。对符合授信条件的小微企业，要积极给予信贷支持，不得因其暂时的经营困难而抽贷、断贷。要加强自身风险管控能力建设，有效识别和防范小微企业贷款风险，不得“一刀切”地采取惜贷、拒贷等行为。要在小微企业金融服务各项业务上主动减费让利，不得延长融资链条，变相抬升融资成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二、明确支持重点，加大信贷投放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各银行业金融机构要围绕促进大众创业、万众创新和经济提质增效升级，结合“互联网+”带动现代制造业发展的趋势，重点支持符合国家创新驱动战略、产业和环保政策的小微企业融资需求。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要根据本机构发展战略和市场定位，明确服务小微企业的目标客户群体。商业银行和农村合作金融机构要按照小微企业贷款增速不低于各项贷款平均增速的目标，单列全年小微企业信贷计划，确保对小微企业的信贷投放倾斜，努力实现“三个不低于”，今后发行小微企业专项金融债，必须以实现“三个不低于”为前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三、推进贷款服务创新，扩大自主续贷范围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行业金融机构要按照(关于完善和创新小微企业贷款服务提高小微企业金融服务水平的通知》(银监发［2014］36号，以下简称36号文)要求，认真落实小微企业流动资金贷款的无还本续贷政策。在此基础上，各机构可根据自身风险管控水平和信贷管理制度，比照36号文有关规定，自主决定对到期贷款办理续贷业务的范围。同时，要灵活设置贷款期限，创新贷款产品，丰富还款结息方式，提高信贷资金使用效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要合理确定续贷贷款的风险分类，无还本续贷、通过新发放贷款结清已有贷款等情形不应单独作为下调贷款风险分类的因素。各机构应就落实监管政策、创新贷款还款方式完善内部配套制度，制定具体办法，于2015年9月末前书面报告监管部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四、完善不良贷款容忍度指标，突出差异化考核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要积极应对当前经济增速换档、小微企业不良贷款攀升的形势，加强风险识别和管控，用好、用足不良贷款核销的税前扣除政策，加大对小微企业不良贷款的处置和核销力度。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业金融机构在落实现有小微企业不良贷款容忍度政策基础上，可根据自身风险偏好、风险管理水平和各地经济金融环境，对不同地区的分支机构设置差异化的小微企业不良贷款容忍度目标。分支机构当年小微企业贷款实际不良率未超出总行设置目标的，对于当年该分支机构经办小微企业贷款产生不良的从业人员，在无违反法律法规行为的前提下，可认定为已勤勉尽职地履行了职责，免除其合规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银行业金融机构应就内部小微企业不良贷款容忍度的目标设定和考核制定具体制度办法，于2015年9月末前书面报告监管部门。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五、优化内部资源配置，提升服务能力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业金融机构要在机构、人员、系统等内部资源配置上继续确保对小微企业业务条线的倾斜。要继续完善小微企业金融服务机构体系，加大专营机构建设力度，并重点向县域和乡镇等小微企业集中的地区延伸网点和业务。鼓励中小商业银行增设扎根基层、服务小微的社区支行、小微支行。要加强面向基层的人员培训和梯队建设，着力打造专职化、专业化的小微企业客户经理和信贷审批队伍。要高度重视信息系统建设，运用网络信息技术，提高服务小微企业的效率和便利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六、严格执行“两禁两限”，规范服务收费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要认真贯彻落实《商业银行服务价格管理办法》和关于小微企业金融服务收费的各项监管政策。执行“两禁两限”要求，即除银团贷款外，不得对小微企业贷款收取承诺费、资金管理费，严格限制对小微企业及其增信机构收取财务顾问费、咨询费等费用。要抓紧清理各类融资“通道”业务，减少搭桥融资行为。对于已授信客户，应当按照实际用款合同约定数额，足额发放贷款。严禁在发放贷款时附加不合理条件。严禁通过克扣放款数额、以贷返存、捆绑销售理财产品等行为，变相抬升小微企业融资成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七、建立履职回避制度，开展排查整改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要加强内部管理，严禁员工自办或参与经营典当行、小额贷款公司、担保公司、P2P网贷公司等民间融资机构。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总行和各级分支机构管理层及信贷条线从业人员的近亲属开办或投资入股上述民间融资机构或在此类机构担任高管职务的，其本人应按照履职回避原则，限期调离所在岗位。本通知所称近亲属，根据相关法律法规规定，包括配偶、父母、子女、兄弟姐妹、祖父母、外祖父母、孙子女、外孙子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有关机构应按照本通知要求制定履职回避的内部规章制度，全面排查员工不符合履职回避要求的情形，于2015年底前将相关制度办法书面报告监管部门，并完成内部排查整改。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八、强化监管督导，建立长效机制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要加大对辖内小微企业金融服务工作的监测、引导、督查、评价力度。要在小微企业专项金融债发行、存贷比计算、风险资产权重、不良容忍度方面坚持正向激励导向，进一步落实差异化监管政策。对贷款还款方式创新、不良容忍度、尽职免责、履职回避等已明确要求银行业金融机构出台内部制度办法的事项，要督促其按规定时限制定相关文件并做好书面报告。要建立健全对小微企业金融服务有关政策落地实效的长效督导机制，及时上报情况，反映问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九、加强信息共享，推广良好经验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银行业金融机构要继续推动和协调各级政府部门加强小微企业信息平台建设，加强银行间小微企业信息共享和同业协作。要主动组织调研、收集、宣传各地政府、银行业支持小微企业的好经验、好做法。对行之有效的服务模式，要加强总结提炼，适时推广，推动构建企业、政府、银行业金融机构、征信服务机构多方合力、利益共赢、风险共担的小微企业金融服务共同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本通知有关报告事项，大型银行、股份制银行、邮储银行请书面报告银监会普惠金融部并抄送相关机构监管部门。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中国银行业监督管理委员会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2015年6月22日</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p>
    <w:p>
      <w:pPr>
        <w:pStyle w:val="2"/>
        <w:numPr>
          <w:ilvl w:val="0"/>
          <w:numId w:val="0"/>
        </w:numPr>
        <w:ind w:left="922" w:leftChars="0" w:hanging="440" w:firstLineChars="0"/>
      </w:pPr>
      <w:bookmarkStart w:id="267" w:name="_Toc19774"/>
      <w:r>
        <w:rPr>
          <w:rFonts w:cs="宋体" w:asciiTheme="majorEastAsia" w:hAnsiTheme="majorEastAsia" w:eastAsiaTheme="majorEastAsia"/>
          <w:b/>
          <w:bCs/>
          <w:sz w:val="24"/>
          <w:szCs w:val="24"/>
          <w:lang w:val="en-US" w:eastAsia="zh-CN" w:bidi="ar-SA"/>
        </w:rPr>
        <w:t>68.</w:t>
      </w:r>
      <w:r>
        <w:rPr>
          <w:rFonts w:hint="eastAsia"/>
        </w:rPr>
        <w:t>《中国银监会、国家发展和改革委员会关于银行业支持重点领域重大工程建设的指导意见》</w:t>
      </w:r>
      <w:bookmarkEnd w:id="267"/>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发文机构：中国银行业监督管理委员会(已撤销)、国家发展和改革委员会(含原国家发展计划委员会、原国家计划委员会)</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文号：银监发〔2015〕43号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各银监局，各省、自治区、直辖市及计划单列市、新疆生产建设兵团发展改革委，各政策性银行、大型银行、股份制银行，邮储银行，金融资产管理公司，各协会：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全面贯彻落实党中央、国务院关于稳增长、促改革、调结构、惠民生、防风险的各项工作要求，持续推进“一带一路”、京津冀协同发展、长江经济带建设等重大战略的实施，切实发挥银行业金融机构对国家重点领域重大工程项目建设的支持作用，促进经济金融健康可持续发展，现提出以下指导意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一、总体要求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指导思想。全面贯彻落实党中央、国务院有关国家重大战略和重大工程项目建设的文件精神，以重点领域重大工程为核心，强化政银企社合作及信息共享，完善工作机制和信贷政策，加强信贷管理和金融创新，全面做好国家重大战略部署的金融服务工作。立足银行业金融机构定位和自身优势，主动对接、积极支持重大工程项目建设，确保重大政策有效落地、金融风险有效防范，推动经济发展提质增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（二）基本原则。坚持落实国家战略与商业可持续相结合，坚持推进政策落实与优化金融服务相结合，坚持促进转型升级与金融创新相结合，坚持服务实体经济与防范金融风险相结合。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二、优化信贷管理与政策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健全工作机制。加强组织领导，明确管理层、牵头部门有关职责，强化全行统筹安排，切实落实政策要求，加大推进力度。完善项目管理机制，做好重大工程项目的信贷政策、业务授权、产品创新、资源配置等系统安排。定期收集、主动跟进重大项目建设信息，与项目开展及时、有效对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完善差别化信贷政策。制定完善重大工程项目信贷政策，科学设定重大工程项目信贷准入门槛，完善项目评价方法和模型，综合考虑项目所属行业、所处区域及发展的可持续性等因素，实施精细化、差别化的分类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优化信贷流程。进一步提高信贷管理水平，优化重大工程项目的受理审批流程和信贷评审方式，对符合一定条件的重大工程项目开展预评审，提高审批效率。对时效性较强的重大工程项目，可优先安排审批。科学测算项目投资规模和未来现金流回报，根据项目建设和运营周期，合理确定融资业务品种、规模和期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增强信贷投放能力。扩大信贷资产证券化基础资产范围，加快信贷资产流转，盘活信贷存量。在依法合规的前提下，用足贷款核销等政策空间，积极采用市场化手段，多渠道、批量化处置不良贷款，为新增贷款腾出空间。通过贷款重组、发放并购贷款等方式，推动低效企业兼并重组，提高存量资金使用效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（七）推行绿色信贷。践行可持续发展的绿色理念，加强能力建设，积极创新绿色金融产品和服务，强化重大工程项目的绿色低碳化建设和运营管理，有效防范项目的环境和社会风险。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提供差异化金融服务。根据发展定位，有区别有侧重地进行重点支持。开发性、政策性金融机构要发挥中长期投融资优势，在业务范围内以财务可持续为前提为生态环保、农林水利、中西部铁路和公路、城市基础设施等重大工程提供期限合理、稳定、低成本的资金支持。全国性商业银行要积极发挥网络渠道、业务功能协同等优势，为重大工程项目和核心企业提供综合性金融服务，引领新兴行业发展。地方法人机构要注重发挥管理半径短、经营机制灵活等优势，创新金融产品和服务，围绕重大工程项目、核心企业的上下游配套行业探索特色化金融服务。金融资产管理公司、信托公司、企业集团财务公司和金融租赁公司等非银行金融机构要发挥业务优势和创新优势，提供专业化金融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三、持续推进金融创新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（九）积极开展信贷创新。根据项目的不同特点，积极开展信贷产品和服务创新。鼓励实施银团贷款，为重大工程项目建设提供一揽子综合性金融服务。积极开展银行联合授信，有效满足项目资金需求。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积极创新担保方式。按照《国务院关于创新重点领域投融资机制鼓励社会投资的指导意见》（国发〔2014〕60号）的有关精神，灵活运用排污权、收费权、特许经营权、购买服务协议预期收益、林权、集体土地承包经营权等进行抵质押贷款，不断创新担保方式。探索利用工程供水、供热、发电、污水垃圾处理等预期收益质押贷款，允许利用相关收益作为还款来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探索创新融资模式。加强融资模式创新研究，大力发展包括大型成套设备金融租赁等非信贷融资模式，满足重大项目建设融资需求。积极发挥信托功能，支持铁路发展基金募集。积极推进资产证券化，盘活重大项目信贷资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针对政府和社会资本合作（PPP）项目的特点，创新金融服务，拓展重大工程建设的融资渠道和方式。对已经建立现代企业制度、实现市场化运营，其承担的地方政府债务已纳入政府财政预算、得到妥善处置并明确公告今后不再承担地方政府举债融资职能的融资平台公司，对于其承担的重大工程项目建设或作为社会资本参与当地政府和社会资本合作项目建设，银行业金融机构可在依法合规、审慎测算还款能力和项目收益的前提下，予以信贷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四、加强风险管理与防控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确保项目建设合规性。贷款发放与支付前，确保项目已正式取得投资、环保、土地、规划、安全生产等主管部门的审批（核准）文件；确保项目资本金足额到位并与贷款配套使用，确保项目实施进度与已投资额相匹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三）切实落实还款保障条件。按照自主经营，自担风险，自负盈亏，自我约束的商业化原则自主审贷，全面、深入评估项目风险，严格把关。审慎预测项目的未来收益和现金流，以其作为未来还款的主要保障，不得要求地方政府对重大工程项目融资承担还款责任，或提供任何形式的显性和隐性担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四）做好贷中贷后管理工作。严格按照贷款合同约定发放和使用贷款，坚持专款专用，防止贷款挪用。确定专门项目收入账户，加强对项目收入账户的监测和管理。定期对借款人和项目发起人的履约情况及信用状况、项目的建设和运营情况、宏观经济变化和市场波动情况、贷款担保的变动情况等进行监测分析，完善贷款质量监控制度，并对可能影响贷款安全的不利情形及时采取针对性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五）推进风险管理体系建设。密切关注经济金融形势变化，加强风险监测和预警；全面了解客户和项目信息，强化项目全周期风险管理；合理运用担保以及项目收费权、合同收益权、保险权益转让等方式，完善风险缓释机制。防范外部风险与银行内生性风险的传染，防范银行机构表内风险与表外风险的传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五、强化监督指导与协作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六）确保项目建设可持续性。发展改革部门加强对重大工程项目的规划和指导，建设一批、核准一批、储备一批、谋划一批，提高项目投资的有效性和针对性。对于自身收益不足和经济性不强的重大项目，推动完善项目收益保障机制建设，提高项目经济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（十七）加强协调沟通。发展改革部门进一步健全项目清单，搭建重大工程项目信息平台，提高与银行业监管部门、银行业金融机构信息共享的时效性。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八）强化同业协作。各银监局要加强指导，推动当地银行业协会牵头，探索建立大额授信联合管理机制，强化银行间在项目规划、项目评审评级、授信额度核定、还款安排、贷款管理及风险化解等方面的合作协调，建立资源共享、运作顺畅、服务高效的同业合作机制，有效防范过度授信、多头授信及集团客户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中国银行业监督管理委员会国家发展和改革委员会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2015年8月10日</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p>
    <w:p>
      <w:pPr>
        <w:pStyle w:val="2"/>
        <w:numPr>
          <w:ilvl w:val="0"/>
          <w:numId w:val="0"/>
        </w:numPr>
        <w:ind w:left="922" w:leftChars="0" w:hanging="440" w:firstLineChars="0"/>
      </w:pPr>
      <w:bookmarkStart w:id="268" w:name="_Toc12324"/>
      <w:r>
        <w:rPr>
          <w:rFonts w:cs="宋体" w:asciiTheme="majorEastAsia" w:hAnsiTheme="majorEastAsia" w:eastAsiaTheme="majorEastAsia"/>
          <w:b/>
          <w:bCs/>
          <w:sz w:val="24"/>
          <w:szCs w:val="24"/>
          <w:lang w:val="en-US" w:eastAsia="zh-CN" w:bidi="ar-SA"/>
        </w:rPr>
        <w:t>69.</w:t>
      </w:r>
      <w:r>
        <w:rPr>
          <w:rFonts w:hint="eastAsia"/>
        </w:rPr>
        <w:t>《国务院办公厅关于促进金融租赁行业健康发展的指导意见》</w:t>
      </w:r>
      <w:bookmarkEnd w:id="268"/>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发文机构：国务院办公厅</w:t>
      </w:r>
      <w:r>
        <w:rPr>
          <w:rFonts w:hint="eastAsia" w:cs="宋体" w:asciiTheme="majorEastAsia" w:hAnsiTheme="majorEastAsia" w:eastAsiaTheme="majorEastAsia"/>
        </w:rPr>
        <w:tab/>
      </w:r>
      <w:r>
        <w:rPr>
          <w:rFonts w:hint="eastAsia" w:cs="宋体" w:asciiTheme="majorEastAsia" w:hAnsiTheme="majorEastAsia" w:eastAsiaTheme="majorEastAsia"/>
        </w:rPr>
        <w:t>文号：国办发〔2015〕69号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各省、自治区、直辖市人民政府，国务院各部委、各直属机构：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金融租赁是与实体经济紧密结合的一种投融资方式，是推动产业创新升级、促进社会投资和经济结构调整的积极力量。近年来，我国金融租赁行业取得长足发展，综合实力显著提升，行业贡献与社会价值逐步体现。但总体上看，金融租赁行业对国民经济的渗透率和行业覆盖率仍然较低，外部环境不够完善，行业竞争力有待提高。为进一步促进金融租赁行业健康发展，创新金融服务，支持产业升级，拓宽中小微企业融资渠道，有效服务实体经济，经国务院同意，现提出以下意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一、加快金融租赁行业发展，发挥其对促进国民经济转型升级的重要作用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金融租赁公司是为具有一定生产技术和管理经验但生产资料不足的企业和个人提供融资融物服务的金融机构。通过设备租赁，可以直接降低企业资产负债率；通过实物转租，可以直接促进产能转移、企业重组和生产资料更新换代升级；通过回购返租，可以直接提高资金使用效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要充分认识金融租赁服务实体经济的重要作用，把金融租赁放在国民经济发展整体战略中统筹考虑。加快建设金融租赁行业发展长效机制，积极营造有利于行业发展的外部环境，进一步转变行业发展方式，力争形成安全稳健、专业高效、充满活力、配套完善、具有国际竞争力的现代金融租赁体系。充分发挥金融租赁提高资源配置效率、增强产业竞争能力和推动产能结构调整的引擎作用，努力将其打造成为优化资源配置、促进经济转型升级的有效工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二、突出金融租赁特色，增强公司核心竞争力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深化体制机制改革，引导各类社会资本进入金融租赁行业，支持民间资本发起设立风险自担的金融租赁公司，扩大服务覆盖面。引导金融租赁公司明确市场定位，突出融资和融物相结合的特色，根据自身发展战略、企业规模、财务实力以及管理能力，深耕具有比较优势的特定领域，实现专业化、特色化、差异化发展。支持金融租赁公司顺应“互联网+”发展趋势，利用物联网、云计算、大数据等技术，提升金融服务水平。建立完善的公司治理结构和内部控制体系，推动有条件的金融租赁公司依法合规推进混合所有制改革，优化激励约束机制，形成权责明晰、制衡有效、激励科学、运转高效的内部治理体系。在风险可控前提下，鼓励金融租赁公司自主创新发展，加快专业化人才队伍培养，积极培育核心竞争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三、发挥产融协作优势，支持产业结构优化调整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鼓励金融租赁公司发挥扩大设备投资、支持技术进步、促进产品销售、增加服务集成等作用，创新业务协作和价值创造模式，积极服务“一带一路”、京津冀协同发展、长江经济带、“中国制造2025”等国家重大战略，推动大众创业、万众创新。积极支持新一代信息技术、高端装备制造、新能源、新材料、节能环保和生物等战略性新兴产业发展。加大对教育、文化、医药卫生等民生领域支持力度。在飞机、船舶、工程机械等传统领域培育一批具有国际竞争力的金融租赁公司。在公交车、出租车、公务用车等领域鼓励通过金融租赁发展新能源汽车及其配套设施。鼓励金融租赁公司利用境内综合保税区、自由贸易试验区现行税收政策和境外优惠政策，设立专业子公司开展金融租赁业务，提升专业化经营服务水平。支持金融租赁公司开拓国际市场，为国际产能和装备制造合作提供配套服务。鼓励通过金融租赁引入国外先进设备，提升国内技术装备水平，同时要注重支持使用国产设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四、提升金融租赁服务水平，加大对薄弱环节支持力度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支持设立面向“三农”、中小微企业的金融租赁公司。鼓励金融租赁公司发挥融资便利、期限灵活、财务优化等优势，开发适合“三农”特点、价格公允的产品和服务，积极开展大型农机具金融租赁试点，支持农业大型机械、生产设施、加工设备更新。探索将生物资产作为租赁物的可行性。允许符合条件的金融租赁公司享受财政贴息和财政奖励。允许租赁农机等设备的实际使用人按规定享受农机购置补贴。加大对科技型、创新型、创业型中小微企业支持力度。允许金融租赁公司使用地方人民政府建立的中小微企业信贷风险补偿基金，参与中小微企业信用体系建设。鼓励地方人民政府通过奖励、风险补偿等方式，引导金融租赁公司加大对“三农”、中小微企业融资支持力度。支持符合条件的金融租赁公司发行“三农”、小微企业金融债券。适当提高中小微企业金融租赁业务不良资产容忍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五、加强基础设施建设，夯实行业发展基础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逐步完善金融租赁行业法律法规，研究建立具有法律效力的租赁物登记制度，发挥租赁物的风险保障作用，维护金融租赁公司的合法权益。落实金融租赁税收政策，切实促进行业健康发展。推动建设租赁物二手流通市场，拓宽租赁物处置渠道，丰富金融租赁公司盈利模式。加大政府采购支持力度，鼓励各级人民政府在提供公共服务、推进基础设施建设和运营中购买金融租赁服务。将通过金融租赁方式进行的企业技术改造和设备购置纳入鼓励政策适用范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六、完善配套政策体系，增强持续发展动力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允许符合条件的金融租赁公司上市和发行优先股、次级债，丰富金融租赁公司资本补充渠道。允许符合条件的金融租赁公司通过发行债券和资产证券化等方式多渠道筹措资金。研究保险资金投资金融租赁资产。适度放开外债额度管理要求，简化外债资金审批程序。支持金融租赁公司开展跨境人民币业务，给予金融租赁公司跨境人民币融资额度。积极运用外汇储备委托贷款等多种方式，加大对符合条件金融租赁公司的支持力度。建立形式多样的租赁产业基金，为金融租赁公司提供长期稳定资金来源。规范机动车交易和登记管理，简化交易登记流程，便利金融租赁公司办理业务。完善船舶登记制度，促进船舶金融租赁业务健康发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七、加强行业自律，优化行业发展环境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加强金融租赁行业自律组织建设，履行协调、维权、自律、服务职能，建立健全行业自我约束机制，积极承担社会责任，维护行业整体形象。加强对金融租赁理念、知识的宣传和普及，提升公众和企业认知度。强化信息披露，定期发布金融租赁行业数据。积极与高等院校等开展合作，培育专业化金融租赁人才。支持金融租赁行业共同组建市场化的金融租赁登记流转平台，为各类市场主体自愿参与提供服务，活跃金融租赁资产的交易转让，盘活存量金融租赁资产，更好服务实体经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八、完善监管体系，增强风险管理能力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全面加强金融租赁公司风险管理，强化实物资产处置能力。建立健全风险监测预警机制，深入排查各类风险隐患，完善风险应急预案。完善资产分类和拨备管理，增强风险抵御能力。加强合规体系建设，增强金融租赁行业合规经营意识，建立健全合规管理长效机制。落实简政放权、放管结合、优化服务工作要求，着力加强事中事后监管，优化监管资源配置，加强行业顶层制度建设。有关部门要加强协调配合，防止风险交叉传染。完善以风险为本、资本监管为核心，适合行业特点的监管体系，在风险可控前提下，促进金融租赁行业健康发展，守住不发生系统性区域性金融风险底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国务院办公厅</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2015年9月1日</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p>
    <w:p>
      <w:pPr>
        <w:pStyle w:val="2"/>
        <w:numPr>
          <w:ilvl w:val="0"/>
          <w:numId w:val="0"/>
        </w:numPr>
        <w:ind w:left="922" w:leftChars="0" w:hanging="440" w:firstLineChars="0"/>
      </w:pPr>
      <w:bookmarkStart w:id="269" w:name="_Toc3985"/>
      <w:r>
        <w:rPr>
          <w:rFonts w:cs="宋体" w:asciiTheme="majorEastAsia" w:hAnsiTheme="majorEastAsia" w:eastAsiaTheme="majorEastAsia"/>
          <w:b/>
          <w:bCs/>
          <w:sz w:val="24"/>
          <w:szCs w:val="24"/>
          <w:lang w:val="en-US" w:eastAsia="zh-CN" w:bidi="ar-SA"/>
        </w:rPr>
        <w:t>70.</w:t>
      </w:r>
      <w:r>
        <w:rPr>
          <w:rFonts w:hint="eastAsia"/>
        </w:rPr>
        <w:t>《国务院关于调整和完善固定资产投资项目资本金制度的通知》</w:t>
      </w:r>
      <w:bookmarkEnd w:id="269"/>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发文机构：国务院</w:t>
      </w:r>
      <w:r>
        <w:rPr>
          <w:rFonts w:hint="eastAsia" w:cs="宋体" w:asciiTheme="majorEastAsia" w:hAnsiTheme="majorEastAsia" w:eastAsiaTheme="majorEastAsia"/>
        </w:rPr>
        <w:tab/>
      </w:r>
      <w:r>
        <w:rPr>
          <w:rFonts w:hint="eastAsia" w:cs="宋体" w:asciiTheme="majorEastAsia" w:hAnsiTheme="majorEastAsia" w:eastAsiaTheme="majorEastAsia"/>
        </w:rPr>
        <w:t>文号：国发〔2015〕51号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各省、自治区、直辖市人民政府，国务院各部委、各直属机构：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进一步解决当前重大民生和公共领域投资项目融资难、融资贵问题，增加公共产品和公共服务供给，补短板、增后劲，扩大有效投资需求，促进投资结构调整，保持经济平稳健康发展，国务院决定对固定资产投资项目资本金制度进行调整和完善。现就有关事项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一、各行业固定资产投资项目的最低资本金比例按以下规定执行。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城市和交通基础设施项目：城市轨道交通项目由25%调整为20%，港口、沿海及内河航运、机场项目由30%调整为25%，铁路、公路项目由25%调整为20%。</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房地产开发项目：保障性住房和普通商品住房项目维持20%不变，其他项目由30%调整为25%。</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产能过剩行业项目：钢铁、电解铝项目维持40%不变，水泥项目维持35%不变，煤炭、电石、铁合金、烧碱、焦炭、黄磷、多晶硅项目维持30%不变。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其他工业项目：玉米深加工项目由30%调整为20%，化肥（钾肥除外）项目维持25%不变。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电力等其他项目维持20%不变。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二、城市地下综合管廊、城市停车场项目，以及经国务院批准的核电站等重大建设项目，可以在规定最低资本金比例基础上适当降低。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金融机构在提供信贷支持和服务时，要坚持独立审贷，切实防范金融风险。要根据借款主体和项目实际情况，按照国家规定的资本金制度要求，对资本金的真实性、投资收益和贷款风险进行全面审查和评估，坚持风险可控、商业可持续原则，自主决定是否发放贷款以及具体的贷款数量和比例。对于产能严重过剩行业，金融机构要严格执行《国务院关于化解产能严重过剩矛盾的指导意见》（国发〔2013〕41号）有关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自本通知印发之日起，凡尚未审批可行性研究报告、核准项目申请报告、办理备案手续的固定资产投资项目，以及金融机构尚未贷款的固定资产投资项目，均按照本通知执行。已经办理相关手续但尚未开工建设的固定资产投资项目，参照本通知执行。已与金融机构签订相关合同的固定资产投资项目，按照原合同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五、国家将根据经济形势发展和宏观调控需要，适时调整固定资产投资项目最低资本金比例。</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六、本通知自印发之日起执行。</w:t>
      </w:r>
    </w:p>
    <w:p>
      <w:pPr>
        <w:pStyle w:val="2"/>
        <w:numPr>
          <w:ilvl w:val="0"/>
          <w:numId w:val="0"/>
        </w:numPr>
        <w:ind w:left="922" w:leftChars="0" w:hanging="440" w:firstLineChars="0"/>
      </w:pPr>
      <w:bookmarkStart w:id="270" w:name="_Toc24791"/>
      <w:r>
        <w:rPr>
          <w:rFonts w:cs="宋体" w:asciiTheme="majorEastAsia" w:hAnsiTheme="majorEastAsia" w:eastAsiaTheme="majorEastAsia"/>
          <w:b/>
          <w:bCs/>
          <w:sz w:val="24"/>
          <w:szCs w:val="24"/>
          <w:lang w:val="en-US" w:eastAsia="zh-CN" w:bidi="ar-SA"/>
        </w:rPr>
        <w:t>71.</w:t>
      </w:r>
      <w:r>
        <w:rPr>
          <w:rFonts w:hint="eastAsia"/>
        </w:rPr>
        <w:t>《中国人民银行关于下调金融机构人民币贷款和存款基准利率并进一步推进利率市场化改革的通知》</w:t>
      </w:r>
      <w:bookmarkEnd w:id="27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发文机构：中国人民银行</w:t>
      </w:r>
      <w:r>
        <w:rPr>
          <w:rFonts w:hint="eastAsia" w:cs="宋体" w:asciiTheme="majorEastAsia" w:hAnsiTheme="majorEastAsia" w:eastAsiaTheme="majorEastAsia"/>
        </w:rPr>
        <w:tab/>
      </w:r>
      <w:r>
        <w:rPr>
          <w:rFonts w:hint="eastAsia" w:cs="宋体" w:asciiTheme="majorEastAsia" w:hAnsiTheme="majorEastAsia" w:eastAsiaTheme="majorEastAsia"/>
        </w:rPr>
        <w:t>文号：银发〔2015〕325号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中国人民银行上海总部，各分行、营业管理部，各省会(首府)城市中心支行、深圳市中心支行，国家开发银行，各政策性银行、国有商业银行、股份制商业银行，中国邮政储蓄银行，各金融资产管理公司：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中国人民银行决定，从2015年10月24日起下调金融机构人民币贷款和存款基准利率，并进一步推进利率市场化改革。现就有关事宜通知如下：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一、调整金融机构贷款及存款基准利率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(一)下调金融机构人民币贷款基准利率。其中，一年期贷款利率由现行的4．6％下调至4．35％，下调0．25个百分点；其他各档次贷款利率相应调整(具体水平见附表1)。</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(二)下调金融机构人民币存款基准利率。其中，一年期存款利率由现行的1．75％下调至1．5％，下调0．25个百分点；其他各档次存款利率相应调整。活期存款利率保持不变(具体水平见附表2)。</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下调个人住房公积金存款利率。其中，当年归集的个人住房公积金存款利率维持0．35％不变；上年结转的个人住房公积金存款利率由现行的1．35％下调至1．1％，下调0．25个百分点。个人住房公积金贷款利率保持不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二、进一步推进利率市场化改革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放开商业银行、农村合作金融机构、村镇银行、财务公司、金融租赁公司、汽车金融公司等金融机构活期存款、一年以内(含一年)定期存款、协定存款、通知存款利率上限。上述金融机构以上期限品种存款利率可参考对应期限存款基准利率自主确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金融机构应坚持服务实体经济的理念，认真执行此次利率调整和改革政策，要根据基准利率的调整，并结合信用、期限等因素，相应调整对客户的贷款利率水平，切实降低社会融资成本。要进一步完善存款利率定价机制建设，结合成本、风险等因素科学合理确定存款利率水平，不断提高存款精细化、差异化定价能力，更好地适应利率市场化的新情况、新环境。要妥善处理合同关系，做好对客户的宣传解释工作。要统筹资产负债经营策略，强化财务硬约束和利率风险管理，自觉维护公平有序的市场竞争秩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金融机构还要结合存款利率上限放开，制定并完善本行的存款定价管理办法，并于2015年年底前报送人民银行。其中，全国性金融机构报送人民银行总行，地方法人金融机构、外资银行等报送人民银行分行、营业管理部，省会(首府)城市中心支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人民银行上海总部、各分行(营业管理部)、省会(首府)城市中心支行、深圳市中心支行要将本通知立即转发至辖区内城市(农村)商业银行、农村合作银行、农村信用社、开办人民币存贷款业务的外资银行、财务公司、金融租赁公司、汽车金融公司等金融机构及住房公积金管理中心，并督促其按时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国家开发银行、各政策性银行、国有商业银行、股份制商业银行、中国邮政储蓄银行要将本通知立即转发至各分支机构(发起人银行业金融机构还要将本通知立即转发至参与设立的村镇银行)，保证此次利率调整工作按时完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六、对利率调整后各方面的反应及出现的新情况、新问题要及时处理并报送人民银行总行。</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p>
    <w:p>
      <w:pPr>
        <w:pStyle w:val="2"/>
        <w:numPr>
          <w:ilvl w:val="0"/>
          <w:numId w:val="0"/>
        </w:numPr>
        <w:ind w:left="922" w:leftChars="0" w:hanging="440" w:firstLineChars="0"/>
      </w:pPr>
      <w:bookmarkStart w:id="271" w:name="_Toc18066"/>
      <w:r>
        <w:rPr>
          <w:rFonts w:cs="宋体" w:asciiTheme="majorEastAsia" w:hAnsiTheme="majorEastAsia" w:eastAsiaTheme="majorEastAsia"/>
          <w:b/>
          <w:bCs/>
          <w:sz w:val="24"/>
          <w:szCs w:val="24"/>
          <w:lang w:val="en-US" w:eastAsia="zh-CN" w:bidi="ar-SA"/>
        </w:rPr>
        <w:t>72.</w:t>
      </w:r>
      <w:r>
        <w:rPr>
          <w:rFonts w:hint="eastAsia"/>
        </w:rPr>
        <w:t>《中国银监会办公厅关于集团客户授信风险提示的通知》</w:t>
      </w:r>
      <w:bookmarkEnd w:id="271"/>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文号：银监办发〔2015〕181号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各银监局，各政策性银行、大型银行、股份制银行，邮储银行，外资银行，金融资产管理公司，其他会管金融机构：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近期，银监会组织部分银监局对银行业金融机构集团客户大额授信情况进行了现场检查。检查发现，相关银行业金融机构在集团客户授信管理中均不同程度存在不审慎行为。为督促和引导银行业金融机构切实加强集团客户授信管理，有效防范风险，现将有关风险和问题提示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一、风险提示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对集团客户过度授信。部分银行业金融机构未将全部关联企业、“低风险”业务纳入统一授信管理；超过客户实际资金需求授信，导致企业盲目扩张或脱离主业多元化发展，大量信贷资金“脱实向虚”；银行业金融机构之间缺乏同业合作，多头、异地授信情况突出，形成较大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违法违规办理授信业务。部分银行业金融机构弱化授信条件、放松风险管理、以形式审查替代实质审查等问题大量存在；依据虚假的合同、增值税发票、银行进账单、他项权证以及审计报告等办理授信，造成重大损失。</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国际贸易融资授信风险突出。部分银行业金融机构放松信用证结算管理，使企业大量挪用信用证结算回款，套取银行信用；给予企业进出口两端双重融资或开立与业务周期严重错配的信用证，配合企业利用贸易融资套利。个别银行业金融机构利用全额保证金业务虚增存贷款规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此外，检查还发现部分银行业金融机构与企业签订债权债务抵销协议，为企业在会计报表中抵销金融资产和负债提供便利。这种做法既承担了相关业务风险，又严重影响了其他银行业金融机构对企业真实融资情况的判断。</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二、监管要求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严格执行集团客户统一授信规定。银行业金融机构要建立完整的统一授信授权经营体系，将实质归属于同一实际控制人的企业、全额保证金及全额存单质押等“低风险”业务全口径纳入统一授信范围，严格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坚持审慎经营，防止过度授信。银行业金融机构要切实加强经营管理，认真进行项目评估，充分利用银监会客户风险监测预警系统等信息渠道，科学测算集团客户信贷资金需求并准确掌握客户融资现状，防止重复贷款和过度授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严格加强授信业务管理。银行业金融机构要严格对企业申贷材料的合法性、真实性和有效性进行实质调查、验证，强化贷后资金流向监控，防止信贷资金挪用，准确做好贷款五级分类。对以虚假资料授信等违规行为，必须严肃追究直接责任人、直接负责的主管人员以及高级管理人员的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（四）审慎开展异地授信业务。银行业金融机构开展异地授信要建立完善的内部控制制度，严格加强异地授信管理，做好贷前尽职调查，规范授信审批程序，强化贷后风险管理，严守风险底线。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进一步加大监管力度。各银监局要进一步完善辖内集团客户大额授信风险的监测和报告体系。对监管中发现提供不实报告的中介机构，应及时向相关主管部门和辖内银行业金融机构通报。要加大对集团客户授信管理的监督与检查力度，严肃查处各类违法违规行为，把“三铁三见”要求落实到位。</w:t>
      </w:r>
    </w:p>
    <w:p>
      <w:pPr>
        <w:spacing w:after="156" w:afterLines="50" w:line="360" w:lineRule="auto"/>
        <w:ind w:firstLine="482" w:firstLineChars="200"/>
        <w:rPr>
          <w:rFonts w:cs="宋体" w:asciiTheme="majorEastAsia" w:hAnsiTheme="majorEastAsia" w:eastAsiaTheme="majorEastAsia"/>
          <w:b/>
          <w:bCs/>
        </w:rPr>
      </w:pPr>
    </w:p>
    <w:p>
      <w:pPr>
        <w:spacing w:after="156" w:afterLines="50" w:line="360" w:lineRule="auto"/>
        <w:ind w:firstLine="482" w:firstLineChars="200"/>
        <w:rPr>
          <w:rFonts w:cs="宋体" w:asciiTheme="majorEastAsia" w:hAnsiTheme="majorEastAsia" w:eastAsiaTheme="majorEastAsia"/>
          <w:b/>
          <w:bCs/>
        </w:rPr>
        <w:sectPr>
          <w:pgSz w:w="11906" w:h="16838"/>
          <w:pgMar w:top="1440" w:right="1800" w:bottom="1440" w:left="1800" w:header="851" w:footer="992" w:gutter="0"/>
          <w:cols w:space="425" w:num="1"/>
          <w:docGrid w:type="lines" w:linePitch="312" w:charSpace="0"/>
        </w:sectPr>
      </w:pPr>
    </w:p>
    <w:p>
      <w:pPr>
        <w:pStyle w:val="2"/>
        <w:numPr>
          <w:ilvl w:val="0"/>
          <w:numId w:val="0"/>
        </w:numPr>
        <w:ind w:left="922" w:leftChars="0" w:hanging="440" w:firstLineChars="0"/>
      </w:pPr>
      <w:bookmarkStart w:id="272" w:name="_Toc20527"/>
      <w:r>
        <w:rPr>
          <w:rFonts w:cs="宋体" w:asciiTheme="majorEastAsia" w:hAnsiTheme="majorEastAsia" w:eastAsiaTheme="majorEastAsia"/>
          <w:b/>
          <w:bCs/>
          <w:sz w:val="24"/>
          <w:szCs w:val="24"/>
          <w:lang w:val="en-US" w:eastAsia="zh-CN" w:bidi="ar-SA"/>
        </w:rPr>
        <w:t>73.</w:t>
      </w:r>
      <w:r>
        <w:rPr>
          <w:rFonts w:hint="eastAsia"/>
        </w:rPr>
        <w:t>《普惠金融发展规划（2016-2020年）》</w:t>
      </w:r>
      <w:bookmarkEnd w:id="272"/>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发文机构：国务院</w:t>
      </w:r>
      <w:r>
        <w:rPr>
          <w:rFonts w:hint="eastAsia" w:cs="宋体" w:asciiTheme="majorEastAsia" w:hAnsiTheme="majorEastAsia" w:eastAsiaTheme="majorEastAsia"/>
        </w:rPr>
        <w:tab/>
      </w:r>
      <w:r>
        <w:rPr>
          <w:rFonts w:hint="eastAsia" w:cs="宋体" w:asciiTheme="majorEastAsia" w:hAnsiTheme="majorEastAsia" w:eastAsiaTheme="majorEastAsia"/>
        </w:rPr>
        <w:t>文号：国发〔2015〕74号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普惠金融是指立足机会平等要求和商业可持续原则，以可负担的成本为有金融服务需求的社会各阶层和群体提供适当、有效的金融服务。小微企业、农民、城镇低收入人群、贫困人群和残疾人、老年人等特殊群体是当前我国普惠金融重点服务对象。大力发展普惠金融，是我国全面建成小康社会的必然要求，有利于促进金融业可持续均衡发展，推动大众创业、万众创新，助推经济发展方式转型升级，增进社会公平和社会和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党中央、国务院高度重视发展普惠金融。党的十八届三中全会明确提出发展普惠金融。2015年《政府工作报告》提出，要大力发展普惠金融，让所有市场主体都能分享金融服务的雨露甘霖。为推进普惠金融发展，提高金融服务的覆盖率、可得性和满意度，增强所有市场主体和广大人民群众对金融服务的获得感，特制订本规划。</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、总体思路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（一）发展现状。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近年来，我国普惠金融发展呈现出服务主体多元、服务覆盖面较广、移动互联网支付使用率较高的特点，人均持有银行账户数量、银行网点密度等基础金融服务水平已达到国际中上游水平，但仍面临诸多问题与挑战：普惠金融服务不均衡，普惠金融体系不健全，法律法规体系不完善，金融基础设施建设有待加强，商业可持续性有待提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（二）指导思想。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全面贯彻党的十八大和十八届三中、四中、五中全会精神，按照党中央、国务院决策部署，坚持借鉴国际经验与体现中国特色相结合、政府引导与市场主导相结合、完善基础金融服务与改进重点领域金融服务相结合，不断提高金融服务的覆盖率、可得性和满意度，使最广大人民群众公平分享金融改革发展的成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（三）基本原则。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健全机制、持续发展。建立有利于普惠金融发展的体制机制，进一步加大对薄弱环节金融服务的政策支持，提高精准性与有效性，调节市场失灵，确保普惠金融业务持续发展和服务持续改善，实现社会效益与经济效益的有机统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机会平等、惠及民生。以增进民生福祉为目的，让所有阶层和群体能够以平等的机会、合理的价格享受到符合自身需求特点的金融服务。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市场主导、政府引导。正确处理政府与市场的关系，尊重市场规律，使市场在金融资源配置中发挥决定性作用。更好发挥政府在统筹规划、组织协调、均衡布局、政策扶持等方面的引导作用。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防范风险、推进创新。加强风险监管，保障金融安全，维护金融稳定。坚持监管和创新并行，加快建立适应普惠金融发展要求的法制规范和监管体系，提高金融监管有效性。在有效防范风险基础上，鼓励金融机构推进金融产品和服务方式创新，适度降低服务成本。对难点问题要坚持先试点，试点成熟后再推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统筹规划、因地制宜。从促进我国经济社会发展、城乡和区域平衡出发，加强顶层设计、统筹协调，优先解决欠发达地区、薄弱环节和特殊群体的金融服务问题，鼓励各部门、各地区结合实际，积极探索，先行先试，扎实推进，做到服水土、接地气、益大众。</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（四）总体目标。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到2020年，建立与全面建成小康社会相适应的普惠金融服务和保障体系，有效提高金融服务可得性，明显增强人民群众对金融服务的获得感，显著提升金融服务满意度，满足人民群众日益增长的金融服务需求，特别是要让小微企业、农民、城镇低收入人群、贫困人群和残疾人、老年人等及时获取价格合理、便捷安全的金融服务，使我国普惠金融发展水平居于国际中上游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提高金融服务覆盖率。要基本实现乡乡有机构，村村有服务，乡镇一级基本实现银行物理网点和保险服务全覆盖，巩固助农取款服务村级覆盖网络，提高利用效率，推动行政村一级实现更多基础金融服务全覆盖。拓展城市社区金融服务广度和深度，显著改善城镇企业和居民金融服务的便利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提高金融服务可得性。大幅改善对城镇低收入人群、困难人群以及农村贫困人口、创业农民、创业大中专学生、残疾劳动者等初始创业者的金融支持，完善对特殊群体的无障碍金融服务。加大对新业态、新模式、新主体的金融支持。提高小微企业和农户贷款覆盖率。提高小微企业信用保险和贷款保证保险覆盖率，力争使农业保险参保农户覆盖率提升至95%以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提高金融服务满意度。有效提高各类金融工具的使用效率。进一步提高小微企业和农户申贷获得率和贷款满意度。提高小微企业、农户信用档案建档率。明显降低金融服务投诉率。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、健全多元化广覆盖的机构体系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充分调动、发挥传统金融机构和新型业态主体的积极性、能动性，引导各类型机构和组织结合自身特点，找准市场定位，完善机制建设，发挥各自优势，为所有市场主体和广大人民群众提供多层次全覆盖的金融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（一）发挥各类银行机构的作用。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鼓励开发性政策性银行以批发资金转贷形式与其他银行业金融机构合作，降低小微企业贷款成本。强化农业发展银行政策性功能定位，加大对农业开发和水利、贫困地区公路等农业农村基础设施建设的贷款力度。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鼓励大型银行加快建设小微企业专营机构。继续完善农业银行“三农金融事业部”管理体制和运行机制，进一步提升“三农”金融服务水平。引导邮政储蓄银行稳步发展小额涉农贷款业务，逐步扩大涉农业务范围。鼓励全国性股份制商业银行、城市商业银行和民营银行扎根基层、服务社区，为小微企业、“三农”和城镇居民提供更有针对性、更加便利的金融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推动省联社加快职能转换，提高农村商业银行、农村合作银行、农村信用联社服务小微企业和“三农”的能力。加快在县（市、旗）集约化发起设立村镇银行步伐，重点布局中西部和老少边穷地区、粮食主产区、小微企业聚集地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（二）规范发展各类新型机构。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拓宽小额贷款公司和典当行融资渠道，加快接入征信系统，研究建立风险补偿机制和激励机制，努力提升小微企业融资服务水平。鼓励金融租赁公司和融资租赁公司更好地满足小微企业和涉农企业设备投入与技术改造的融资需求。促进消费金融公司和汽车金融公司发展，激发消费潜力，促进消费升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积极探索新型农村合作金融发展的有效途径，稳妥开展农民合作社内部资金互助试点。注重建立风险损失吸收机制，加强与业务开展相适应的资本约束，规范发展新型农村合作金融。支持农村小额信贷组织发展，持续向农村贫困人群提供融资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大力发展一批以政府出资为主的融资担保机构或基金，推进建立重点支持小微企业和“三农”的省级再担保机构，研究论证设立国家融资担保基金。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促进互联网金融组织规范健康发展，加快制定行业准入标准和从业行为规范，建立信息披露制度，提高普惠金融服务水平，降低市场风险和道德风险。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（三）积极发挥保险公司保障优势。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保持县域内农业保险经营主体的相对稳定，引导保险机构持续加大对农村保险服务网点的资金、人力和技术投入。支持保险机构与基层农林技术推广机构、银行业金融机构、各类农业服务组织和农民合作社合作，促进农业技术推广、生产管理、森林保护、动物保护、防灾防损、家庭经济安全等与农业保险、农村小额人身保险相结合。发挥农村集体组织、农民合作社、农业社会化服务组织等基层机构的作用，组织开展农业保险和农村小额人身保险业务。完善农业保险协办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、创新金融产品和服务手段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积极引导各类普惠金融服务主体借助互联网等现代信息技术手段，降低金融交易成本，延伸服务半径，拓展普惠金融服务的广度和深度。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（一）鼓励金融机构创新产品和服务方式。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推广创新针对小微企业、高校毕业生、农户、特殊群体以及精准扶贫对象的小额贷款。开展动产质押贷款业务，建立以互联网为基础的集中统一的自助式动产、权利抵质押登记平台。研究创新对社会办医的金融支持方式。开发适合残疾人特点的金融产品。加强对网上银行、手机银行的开发和推广，完善电子支付手段。引导有条件的银行业金融机构设立无障碍银行服务网点，完善电子服务渠道，为残疾人和老年人等特殊群体提供无障碍金融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在全国中小企业股份转让系统增加适合小微企业的融资品种。进一步扩大中小企业债券融资规模，逐步扩大小微企业增信集合债券发行规模。发展并购投资基金、私募股权投资基金、创业投资基金。支持符合条件的涉农企业在多层次资本市场融资。支持农产品期货市场发展，丰富农产品期货品种，拓展农产品期货及期权市场服务范围。完善期货交易机制，为规避农产品价格波动风险提供有效手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鼓励地方各级人民政府建立小微企业信用保证保险基金，用于小微企业信用保证保险的保费补贴和贷款本金损失补偿。引导银行业金融机构对购买信用保险和贷款保证保险的小微企业给予贷款优惠政策。鼓励保险公司投资符合条件的小微企业专项债券。扩大农业保险覆盖面，发展农作物保险、主要畜产品保险、重要“菜篮子”品种保险和森林保险，推广农房、农机具、设施农业、渔业、制种保险等业务。支持保险公司开发适合低收入人群、残疾人等特殊群体的小额人身保险及相关产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（二）提升金融机构科技运用水平。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鼓励金融机构运用大数据、云计算等新兴信息技术，打造互联网金融服务平台，为客户提供信息、资金、产品等全方位金融服务。鼓励银行业金融机构成立互联网金融专营事业部或独立法人机构。引导金融机构积极发展电子支付手段，逐步构筑电子支付渠道与固定网点相互补充的业务渠道体系，加快以电子银行和自助设备补充、替代固定网点的进度。推广保险移动展业，提高特殊群体金融服务可得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（三）发挥互联网促进普惠金融发展的有益作用。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积极鼓励网络支付机构服务电子商务发展，为社会提供小额、快捷、便民支付服务，提升支付效率。发挥网络借贷平台融资便捷、对象广泛的特点，引导其缓解小微企业、农户和各类低收入人群的融资难问题。发挥股权众筹融资平台对大众创业、万众创新的支持作用。发挥网络金融产品销售平台门槛低、变现快的特点，满足各消费群体多层次的投资理财需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、加快推进金融基础设施建设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金融基础设施是提高金融机构运行效率和服务质量的重要支柱和平台，有助于改善普惠金融发展环境，促进金融资源均衡分布，引导各类金融服务主体开展普惠金融服务。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（一）推进农村支付环境建设。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鼓励银行机构和非银行支付机构面向农村地区提供安全、可靠的网上支付、手机支付等服务，拓展银行卡助农取款服务广度和深度。支持有关银行机构在乡村布放POS机、自动柜员机等各类机具，进一步向乡村延伸银行卡受理网络。支持农村金融服务机构和网点采取灵活、便捷的方式接入人民银行支付系统或其他专业化支付清算系统。鼓励商业银行代理农村地区金融服务机构支付结算业务。支持农村支付服务市场主体多元化发展。鼓励各地人民政府和国务院有关部门通过财政补贴、降低电信资费等方式扶持偏远、特困地区的支付服务网络建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（二）建立健全普惠金融信用信息体系。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加快建立多层级的小微企业和农民信用档案平台，实现企业主个人、农户家庭等多维度信用数据可应用。扩充金融信用信息基础数据库接入机构，降低普惠金融服务对象征信成本。积极培育从事小微企业和农民征信业务的征信机构，构建多元化信用信息收集渠道。依法采集户籍所在地、违法犯罪记录、工商登记、税收登记、出入境、扶贫人口、农业土地、居住状况等政务信息，采集对象覆盖全部农民、城镇低收入人群及小微企业，通过全国统一的信用信息共享交换平台及地方各级信用信息共享平台，推动政务信息与金融信息互联互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（三）建立普惠金融统计体系。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建立健全普惠金融指标体系。在整合、甄选目前有关部门涉及普惠金融管理数据基础上，设计形成包括普惠金融可得情况、使用情况、服务质量的统计指标体系，用于统计、分析和反映各地区、各机构普惠金融发展状况。建立跨部门工作组，开展普惠金融专项调查和统计，全面掌握普惠金融服务基础数据和信息。建立评估考核体系，形成动态评估机制。从区域和机构两个维度，对普惠金融发展情况进行评价，督促各地区、各金融机构根据评价情况改进服务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、完善普惠金融法律法规体系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逐步制定和完善普惠金融相关法律法规，形成系统性的法律框架，明确普惠金融服务供给、需求主体的权利义务，确保普惠金融服务有法可依、有章可循。</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（一）加快建立发展普惠金融基本制度。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在健全完善现有“三农”金融政策基础上，研究论证相关综合性法律制度，满足“三农”金融服务诉求。对土地经营权、宅基地使用权、技术专利权、设备财产使用权和场地使用权等财产权益，积极开展确权、登记、颁证、流转等方面的规章制度建设。研究完善推进普惠金融工作相关制度，明确对各类新型机构的管理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（二）确立各类普惠金融服务主体法律规范。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研究探索规范民间借贷行为的有关制度。推动制定非存款类放贷组织条例、典当业管理条例等法规。配套出台小额贷款公司管理办法、网络借贷管理办法等规定。通过法律法规明确从事扶贫小额信贷业务的组织或机构的定位。加快出台融资担保公司管理条例。推动修订农民专业合作社法，明确将农民合作社信用合作纳入法律调整范围。推动修订证券法，夯实股权众筹的法律基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（三）健全普惠金融消费者权益保护法律体系。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修订完善现有法律法规和部门规章制度，建立健全普惠金融消费者权益保护制度体系，明确金融机构在客户权益保护方面的义务与责任。制定针对农民和城镇低收入人群的金融服务最低标准，制定贫困、低收入人口金融服务费用减免办法，保障并改善特殊消费者群体金融服务权益。完善普惠金融消费者权益保护监管工作体系，进一步明确监管部门相关执法权限与责任标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 、发挥政策引导和激励作用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根据薄弱领域、特殊群体金融服务需求变化趋势，调整完善管理政策，促进金融资源向普惠金融倾斜。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（一）完善货币信贷政策。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积极运用差别化存款准备金等货币政策工具，鼓励和引导金融机构更多地将新增或者盘活的信贷资源配置到小微企业和“三农”等领域。进一步增强支农支小再贷款、再贴现支持力度，引导金融机构扩大涉农、小微企业信贷投放，降低社会融资成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（二）健全金融监管差异化激励机制。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以正向激励为导向，从业务和机构两方面采取差异化监管政策，引导银行业金融机构将信贷资源更多投向小微企业、“三农”、特殊群体等普惠金融薄弱群体和领域。推进小微企业专营机构和网点建设。有序开展小微企业金融债券、“三农”金融债券的申报和发行工作。进一步研究加强对小微企业和“三农”贷款服务、考核和核销方式的创新。推进落实有关提升小微企业和“三农”不良贷款容忍度的监管要求，完善尽职免责相关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积极发挥全国中小企业股份转让系统、区域性股权市场、债券市场和期货市场的作用，引导证券投资基金、私募股权投资基金、创业投资基金增加有效供给，进一步丰富中小企业和“三农”的融资方式。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加强农业保险统筹规划，完善农业保险管理制度，建立全国农业保险管理信息平台，进一步完善中国农业保险再保险共同体运行机制。扶持小额人身保险发展，支持保险公司开拓县域市场，对其在中西部设立省级分公司和各类分支机构适度放宽条件、优先审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（三）发挥财税政策作用。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立足公共财政职能，完善、用好普惠金融发展专项资金，重点针对普惠金融服务市场失灵的领域，遵循保基本、有重点、可持续的原则，对普惠金融相关业务或机构给予适度支持。发挥财政资金杠杆作用，支持和引导地方各级人民政府、金融机构及社会资本支持普惠金融发展，更好地保障困难人群的基础金融服务可得性和适用性。落实小微企业和“三农”贷款的相关税收扶持政策。推动落实支持农民合作社和小微企业发展的各项税收优惠政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（四）强化地方配套支持。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地方各级人民政府要加强政策衔接与配合，共筑政策支撑合力。鼓励地方财政通过贴息、补贴、奖励等政策措施，激励和引导各类机构加大对小微企业、“三农”和民生尤其是精准扶贫等领域的支持力度。对金融机构注册登记、房产确权评估等给予政策支持。省级人民政府要切实承担起防范和处置非法集资第一责任人的责任。排查和化解各类风险隐患，提高地方金融监管有效性，严守不发生系统性、区域性金融风险的底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 、加强普惠金融教育与金融消费者权益保护</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结合国情深入推进金融知识普及教育，培育公众的金融风险意识，提高金融消费者维权意识和能力，引导公众关心、支持、参与普惠金融实践活动。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（一）加强金融知识普及教育。</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广泛利用电视广播、书刊杂志、数字媒体等渠道，多层面、广角度长期有效普及金融基础知识。针对城镇低收入人群、困难人群，以及农村贫困人口、创业农民、创业大中专学生、残疾劳动者等初始创业者开展专项教育活动，使其掌握符合其需求的金融知识。注重培养社会公众的信用意识和契约精神。建立金融知识教育发展长效机制，推动部分大中小学积极开展金融知识普及教育，鼓励有条件的高校开设金融基础知识相关公共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（二）培育公众金融风险意识。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以金融创新业务为重点，针对金融案件高发领域，运用各种新闻信息媒介开展金融风险宣传教育，促进公众强化金融风险防范意识，树立“收益自享、风险自担”观念。重点加强与金融消费者权益有关的信息披露和风险提示，引导金融消费者根据自身风险承受能力和金融产品风险特征理性投资与消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（三）加大金融消费者权益保护力度。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加强金融消费者权益保护监督检查，及时查处侵害金融消费者合法权益行为，维护金融市场有序运行。金融机构要担负起受理、处理金融消费纠纷的主要责任，不断完善工作机制，改进服务质量。畅通金融机构、行业协会、监管部门、仲裁、诉讼等金融消费争议解决渠道，试点建立非诉第三方纠纷解决机制，逐步建立适合我国国情的多元化金融消费纠纷解决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（四）强化普惠金融宣传。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加大对普惠金融的宣传力度。建立普惠金融发展信息公开机制，定期发布中国普惠金融指数和普惠金融白皮书。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 、组织保障和推进实施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（一）加强组织保障。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由银监会、人民银行牵头，发展改革委、工业和信息化部、民政部、财政部、农业部、商务部、林业局、证监会、保监会、中国残联等部门和单位参加，建立推进普惠金融发展工作协调机制，加强人员保障和理论研究，制订促进普惠金融发展的重大政策措施，协调解决重大问题，推进规划实施和相关政策落实，切实防范金融风险。国务院各有关部门要加强沟通，密切配合，根据职责分工完善各项配套政策措施。地方各级人民政府要加强组织领导，完善协调机制，结合本地实际抓紧制定具体落实方案，及时将实施过程中出现的新情况、新问题报送银监会、人民银行等有关部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（二）开展试点示范。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规划实施应全面推进、突出重点、分步开展、防范风险。对需要深入研究解决的难点问题，可在小范围内分类开展试点示范，待试点成熟后，再加以总结推广。各地区要在风险可控、依法合规的条件下，开展推进普惠金融发展试点，推动改革创新，加强实践验证。积极探索发挥基层组织在推进普惠金融发展中的作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（三）加强国际交流。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深化与其他国家和地区以及世界银行、全球普惠金融合作伙伴组织等国际组织的交流，开展多形式、多领域的务实合作，探索双边、多边的示范性项目合作，提升我国普惠金融国际化水平。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（四）实施专项工程。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围绕普惠金融发展重点领域、重点人群，集合资源，大力推进金融知识扫盲工程、移动金融工程、就业创业金融服务工程、扶贫信贷工程、大学生助学贷款工程等专项工程，促进实现规划目标。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（五）健全监测评估。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加快建立推进普惠金融发展监测评估体系，实施动态监测与跟踪分析，开展规划中期评估和专项监测，注重金融风险的监测与评估，及时发现问题并提出改进措施。引导和规范互联网金融有序发展，有效防范和处置互联网金融风险。要切实落实监督管理部门对非法集资的防范、监测和预警等职责。加强督查，强化考核，把推进普惠金融发展工作作为目标责任考核和政绩考核的重要内容。</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p>
    <w:p>
      <w:pPr>
        <w:pStyle w:val="2"/>
        <w:numPr>
          <w:ilvl w:val="0"/>
          <w:numId w:val="0"/>
        </w:numPr>
        <w:ind w:left="922" w:leftChars="0" w:hanging="440" w:firstLineChars="0"/>
      </w:pPr>
      <w:bookmarkStart w:id="273" w:name="_Toc27804"/>
      <w:r>
        <w:rPr>
          <w:rFonts w:cs="宋体" w:asciiTheme="majorEastAsia" w:hAnsiTheme="majorEastAsia" w:eastAsiaTheme="majorEastAsia"/>
          <w:b/>
          <w:bCs/>
          <w:sz w:val="24"/>
          <w:szCs w:val="24"/>
          <w:lang w:val="en-US" w:eastAsia="zh-CN" w:bidi="ar-SA"/>
        </w:rPr>
        <w:t>74.</w:t>
      </w:r>
      <w:r>
        <w:rPr>
          <w:rFonts w:hint="eastAsia"/>
        </w:rPr>
        <w:t>《关于融资担保机构支持重大工程建设的指导意见》</w:t>
      </w:r>
      <w:bookmarkEnd w:id="273"/>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发文机构：中国银行业监督管理委员会(已撤销)、国家发展和改革委员会(含原国家发展计划委员会、原国家计划委员会)、工业和信息化部</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文号：银监发〔2016〕1号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各省、自治区、直辖市及计划单列市、新疆生产建设兵团发展改革委，各省、自治区、直辖市中小企业主管部门，各省、自治区、直辖市、计划单列市财政厅（局）、新疆生产建设兵团财务局，各人民银行省级分支机构，各证监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深入贯彻落实《国务院关于促进融资担保行业加快发展的意见》（国发〔2015〕43号）精神，加快建立统一规范的政府性融资担保体系，推动融资担保机构加大对小微企业参与重大工程建设、“走出去”等项目的支持力度，现提出以下指导意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、加快建立统一规范的政府性融资担保体系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大力发展政府性融资担保机构。鼓励以财政资金和国有资本为主，以省级、地市级为重点，通过设立、控股、参股等方式，发展一批主要服务于小微企业和“三农”，主业突出、经营规范、实力较强、信誉较好的政府性融资担保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加快推进再担保体系建设。研究尽快设立国家融资担保基金，推进政府主导的省级再担保机构基本实现全覆盖，增强省级再担保机构分担风险能力。构建国家融资担保基金、省级再担保机构、辖内融资担保机构三层组织体系，有效分担融资担保机构风险，发挥再担保“稳定器”作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、发挥融资担保机构作用，加大对小微企业参与重大工程建设的支持力度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积极为小微企业参与重大工程建设提供非融资担保服务。融资担保机构要发挥担保增信作用，缓解小微企业在投标重大工程建设项目中的信用不足问题，积极为小微企业提供投标保函、履约保函等非融资担保服务。小微企业凭重大工程建设项目招标文件向融资担保机构提出投标保函申请，中标后凭中标通知书向融资担保机构提出履约保函申请的，融资担保机构和合作银行要为符合条件的小微企业快速出具保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积极为小微企业参与重大工程建设提供融资担保服务。小微企业签订重大工程建设项目合同的,融资担保机构要简化操作流程，加快担保审批效率，执行优惠担保费率，为符合条件的小微企业快速提供融资担保服务，合作银行要为小微企业担保融资业务提供审批绿色通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（五）鼓励融资担保机构为小微企业发债提供担保服务。鼓励融资担保机构为小微企业发债提供担保服务，支持其参与重大工程建设项目，有关部门要对有融资担保机构提供担保的企业发债提供审批绿色通道。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积极创新反担保方式。按照《国务院关于创新重点领域投融资机制鼓励社会投资的指导意见》（国发〔2014〕60号）的有关精神，灵活运用排污权、收费权、特许经营权、购买服务协议预期收益、集体林权以及试点地区的承包土地经营权等作为抵质押，不断创新反担保方式。探索利用工程供水、供热、发电、污水垃圾处理等预期收益质押作为反担保，允许利用相关收益作为还款来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重大工程建设项目的范围。重大工程建设项目是指由国家或省级政府立项的项目及涉及“一带一路”、“走出去”、西部大开发等国家重大战略的项目。主要领域包括：铁路、公路、城市轨道交通、机场、水利、电力、通信和物流等重大基础设施建设，国际产能和装备制造合作重大项目，医疗卫生、教育文化、旅游等社会事业，节能减排和生态建设工程，现代农业，航空航天工程，信息工程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、政银担三方共同参与，支持小微企业参与重大工程建设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加快建立政银担三方风险分担机制。各省、自治区、直辖市人民政府要发挥作用，推动以省级再担保机构为平台与银行业金融机构开展合作，对银行业金融机构小微企业担保贷款发生的风险进行合理补偿，引导银行业金融机构适当分担风险，推动银担双方按照自愿、平等、公平的原则建立可持续商业合作模式，实现融资担保业务风险在政府、银行和融资担保机构之间的合理分担，形成各方支持小微企业参与重大工程建设的合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银监会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发展改革委</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工业和信息化部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财政部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人民银行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证监会</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2016年1月11日</w:t>
      </w:r>
    </w:p>
    <w:p>
      <w:pPr>
        <w:pStyle w:val="2"/>
        <w:numPr>
          <w:ilvl w:val="0"/>
          <w:numId w:val="0"/>
        </w:numPr>
        <w:ind w:left="922" w:leftChars="0" w:hanging="440" w:firstLineChars="0"/>
      </w:pPr>
      <w:bookmarkStart w:id="274" w:name="_Toc28282"/>
      <w:r>
        <w:rPr>
          <w:rFonts w:cs="宋体" w:asciiTheme="majorEastAsia" w:hAnsiTheme="majorEastAsia" w:eastAsiaTheme="majorEastAsia"/>
          <w:b/>
          <w:bCs/>
          <w:sz w:val="24"/>
          <w:szCs w:val="24"/>
          <w:lang w:val="en-US" w:eastAsia="zh-CN" w:bidi="ar-SA"/>
        </w:rPr>
        <w:t>75.</w:t>
      </w:r>
      <w:r>
        <w:rPr>
          <w:rFonts w:hint="eastAsia"/>
        </w:rPr>
        <w:t>《中国银监会办公厅关于2016年推进普惠金融发展工作的指导意见》</w:t>
      </w:r>
      <w:bookmarkEnd w:id="27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文号：银监办发〔2016〕24号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各银监局，各政策性银行、大型银行、股份制银行，邮政储蓄银行，外资银行，中国银行业协会、中国融资担保业协会、中国小额贷款公司协会：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全面贯彻党的十八大和十八届三中、四中、五中全会以及中央经济工作会议精神，切实做好《推进普惠金融发展规划（2016-2020年）》（以下简称《普惠金融规划》）开局之年的推动落实工作，现就2016年银行业金融机构和各级监管部门推进普惠金融发展工作提出以下指导意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、总体要求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（一）指导思想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紧紧围绕创新、协调、绿色、开放、共享五大发展理念，落实《推进普惠金融发展规划（2016-2020年）》的总体部署，按照“立足改善民生，聚焦薄弱领域，深化金融创新，推进普惠建设”的指导思想，坚持全面推进和重点突破并举、银行业主导和新型机构补充兼顾、防范风险和鼓励创新并重、协调配合和统筹推进并行的原则，着力增加普惠金融服务和产品供给，明显改善对小微企业、“三农”、贫困人口、特殊人群等薄弱领域的金融服务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（二）主要目标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2016年推进普惠金融发展要实现以下目标：一是初步建立普惠金融统计分析和考核评价体系；二是确保小微企业贷款投放稳步增长，扩大小微企业金融服务覆盖面，提高贷款可获得性，力争实现小微企业贷款“三个不低于”目标；三是努力实现涉农信贷投放持续增长，进一步提高乡镇网点和行政村基础金融服务覆盖率；四是增加建档立卡贫困户信贷投入，大幅度提高建档立卡贫困户扶贫小额信贷覆盖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、持续推进小微企业金融服务工作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（三）单列信贷计划，确保投放进度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要按照小微企业贷款增速不低于各项贷款平均增速的目标，年初单列全年小微信贷计划，执行过程中不得挤占、挪用。大型银行、股份制银行和邮政储蓄银行应于2016年1季度末前向银监会普惠金融部报送全年小微信贷计划，报送内容应包括本行各一级分行全年小微企业信贷计划额度。地方法人商业银行应向属地监管部门报送。开发银行和政策性银行应当根据自身战略定位，积极履行社会责任，做好小微企业金融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（四）拓展服务渠道，优化机构布局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业金融机构要加快拓展小微企业金融服务渠道。线上要大力推广手机银行、网络银行等新型终端，线下要突出机构建设的专营定位。大型银行、股份制银行、邮政储蓄银行要继续推进专营机构建设，在总行设立专门业务管理部门，一级分行设立专门部室，二级分行以下安排专人专岗。地方性法人银行要继续向小微企业集中区域增设小微支行、社区支行。支持条件成熟的银行进行小微企业信贷子公司改革。要积极为残疾人和老年人等特殊群体提供无障碍金融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（五）丰富服务手段，支持创业创新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业金融机构要为小微企业提供多样化授信、支付结算、资产管理、咨询等综合金融服务。要深化小微企业金融服务与“互联网+”的融合，进一步改造信贷管理制度和信用评价模型，合理设定授信准入门槛，创新抵质押方式，推进发放信用贷款。对科技创新创业型小微企业，允许有条件的银行在依法合规、风险可控的前提下，试点探索投贷联动融资服务。要积极为残疾人和老年人等特殊群体提供无障碍金融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（六）改进贷款期限管理，加大尽职免责力度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业金融机构要根据小微企业的融资特点和实际用款需求创新贷款产品，合理设置贷款期限和还款方式，降低企业资金周转成本。要认真落实小微企业流动资金贷款的无还本续贷政策，科学合理确定贷款分类，配套改进信贷管理系统。对市场前景较好、但暂时经营困难的小微企业，可通过信贷展期、借新还旧等贷款重整措施，缓解企业债务压力，不能一刀切，简单压贷、抽贷、断贷。小微企业不良贷款率高出当年全行各项贷款不良率目标２个百分点以内（含）的，在无违反法律法规和有关监管规章行为的前提下，可免予追究小微企业信贷人员的合规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、扎实做好农村金融服务工作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（七）加大信贷投入，突出支持重点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业金融机构要把握有保有压、有扶有控原则，持续加大涉农信贷投放，将优质涉农企业、农民合作社、种养大户、家庭农场等新型农业经营主体作为信贷支持重点。农业银行、邮政储蓄银行、农村中小金融机构要单列涉农信贷计划。其它银行业金融机构要根据自身战略定位和业务特点，向“三农”客户倾斜资源配置。县域以下银行业金融机构要加大对当地的贷款投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（八）完善机构体系，优化服务机制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积极探索通过设立普惠金融事业部、三农金融事业部、专业支行等方式，单列涉农信贷计划、创新业务模式，不断改进三农金融服务体制机制。农业银行要深化三农金融事业部改革。农业发展银行要加大中长期三农信贷投放。国家开发银行要进一步加大对农业农村建设的信贷投放。农村信用社（农村商业银行、农村合作银行）要强化立足县域、服务三农定位，深入实施“三大工程”，更好发挥支农服务主力军作用。农村信用社省联社要发挥行业协同优势，整合放大服务三农能力。支持邮政储蓄银行建立三农事业部，稳步发展小额涉农贷款业务。其他商业银行要发挥自身专长，发展涉农业务。支持各类符合条件的社会资本参与设立村镇银行，加快在县（市、旗）集约化发起设立村镇银行，重点布局中西部地区、老少边穷地区、粮食主产区和涉农小微企业聚集地区，稳步提高县市覆盖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（九）创新金融产品，丰富担保手段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业金融机构要积极探索低成本、可复制、易推广、“量体裁衣”式的农村金融产品和服务方式，加快建立健全符合当地需求特点的金融产品体系。按照统一安排，探索开展农村承包土地经营权抵押贷款、农民住房财产权抵押贷款、大型农机具融资租赁试点。积极发展林权抵押贷款。充分发挥政策性农业信贷担保机构作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（十）推进基础金融服务全覆盖，发展民生金融业务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业金融机构要积极到机构空白乡镇设立标准化固定营业网点。对暂不具备条件的机构空白乡镇，继续采取便民金融服务点、金融电子化机具、电子渠道等多种形式提供简易便民服务。对已解决基础金融服务的行政村，逐步充实查询、银行卡和小额贷款申请受理等服务功能。大力发展农村民生金融业务，支持返乡农民工、农村青年、农村妇女、大学生村官、科技特派员在农村就业创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、突出打好脱贫攻坚战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（十一）明确机构定位，落实责任分工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鼓励银行业金融机构按照单列信贷资源、单设扶贫机构、单独考核贫困地区建制乡镇机构网点覆盖率和行政村金融服务覆盖率、单独研发扶贫金融产品的“四单”原则，加大对扶贫工作的投入。发挥政策性金融和商业性金融互补作用，以国家开发银行和农业发展银行为主渠道，同时通过市场化机制引导商业性银行业金融机构加大信贷投入。国家开发银行、农业发展银行要设立扶贫金融事业部。其他涉农银行业金融机构要成立扶贫工作专门组织架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（十二）聚焦重点难点，确保精准投放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国家开发银行和农业发展银行要加大贫困地区基础设施、公共服务设施、移民搬迁、生态保护、教育扶贫等领域的资金投放。其他涉农银行业金融机构要着重加大建档立卡贫困人口的扶贫小额信贷投放。要进一步完善建档立卡贫困户贷款管理政策。提高财政专项扶贫资金投入扶贫项目的信贷资金配套比例。增加贫困地区基础设施、易地扶贫搬迁等项目的中长期信贷资金比重。银行业金融机构要制定关于脱贫攻坚项目的贷款管理办法，把扶贫项目和贫困对象认定结果的真实性作为发放贷款的首要条件，把确实的还款来源作为还款主要保障，把贷款资金是否专款专用、支持对象是否精准作为贷款检查的重要内容，保证精准扶贫。</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、规范引导非存款类机构协同发挥普惠作用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（十三）鼓励非银行金融机构践行普惠金融职能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鼓励金融租赁公司加大对小微企业和“三农”的服务力度，满足小微企业和涉农企业设备投入和技术改造需求。以市场需求为导向，逐步将消费金融公司试点推广至全国。支持汽车金融公司、消费金融公司在风险可控的前提下延伸服务触角，拓展渠道布局。引导金融资产管理公司、信托公司、企业集团财务公司等其他非银行金融机构结合自身业务特长及功能定位，加强对小微企业、“三农”的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（十四）鼓励融资担保机构、小额贷款公司和网络借贷机构开展普惠金融服务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推动并配合有关部门尽快设立国家融资担保基金，组建全国农业信贷担保联盟公司。小额贷款公司要坚持小额、分散的原则，与银行业金融机构等其他机构错位经营。网络借贷信息中介机构应坚持信息中介平台属性，依法合规经营，为大众创业、小微企业、城乡居民提供便利可得、价格合理的普惠金融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 、强化监管引领与风险防范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（十五）细化目标规划，落实任务分工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要负责汇总辖内法人银行年度小微企业信贷计划，并于2016年4月底前报送银监会普惠金融部。要对辖内机构空白乡镇和基础金融服务未通村情况进行排查摸底，制定分年度实施规划并于2016年5月底前报送银监会普惠金融部，力争在2020年底全面消除机构空白乡镇，在具备条件的行政村实现基础金融服务“村村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（十六）坚持非现场监管与现场检查相结合，突出正向激励</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级监管部门要将推进小微企业和“三农”服务等重点普惠工作内容纳入日常非现场监管，并适时组织开展政策落实的调查和督查工作。定期通报“三个不低于”目标和信贷计划完成情况。实施支农服务与监管评级、市场准入相挂钩政策。落实和完善城乡网点设立挂钩政策，建立绿色准入通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（十七）严守风险底线，加强预防预判</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级监管部门要严守不发生系统性、区域性风险的底线。要指导辖内机构用好、用足不良贷款拨备和核销的优惠政策。要着力做好对辖内农村新设网点、流动网点和便民服务点的业务指导和人员培训，强化突发事件应急处置能力，严防各类操作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 、做好组织实施与保障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（十八）保证监管资源配置，落实岗位责任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要要明确专门处室牵头负责普惠金融相关工作。要明确专人专岗负责对小微企业、“三农”金融服务的监管推动。对融资担保机构、小额贷款公司、网贷机构等机构相关联系协调工作，要落实到具体处室。</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（十九）开展经验交流推广，增强正向宣传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各级监管部门要加大普惠金融政策的培训和解读。加强经验宣传和模式推广，探索形成一批可复制、可推广的模式。按银监会统一部署，组织开展“普惠金融宣传月”活动。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（二十）凝聚政策合力，优化外部环境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级监管部门要加强与政府部门的沟通协调，优化监管工作环境。推动建设统一、开放的信息查询平台，完善信用评价体系。加强银税互动。推动设立小微企业、“三农”信贷奖励和风险补偿基金。推动发展政府主导的融资担保和再担保机构。推动加快涉诉借贷纠纷的立案、审判和执行进度，加大对恶意逃废债的打击力度。银行业协会、融资担保业协会和小额贷款公司协会要积极发挥行业信息交流和通报的作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请各银监局将本意见转送所在省、自治区、直辖市和计划单列市负责融资担保机构、小额贷款公司、网络借贷信息中介机构监管的相关政府部门。</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2016年2月6日</w:t>
      </w:r>
    </w:p>
    <w:p>
      <w:pPr>
        <w:pStyle w:val="2"/>
        <w:numPr>
          <w:ilvl w:val="0"/>
          <w:numId w:val="0"/>
        </w:numPr>
        <w:ind w:left="922" w:leftChars="0" w:hanging="440" w:firstLineChars="0"/>
      </w:pPr>
      <w:bookmarkStart w:id="275" w:name="_Toc6818"/>
      <w:r>
        <w:rPr>
          <w:rFonts w:cs="宋体" w:asciiTheme="majorEastAsia" w:hAnsiTheme="majorEastAsia" w:eastAsiaTheme="majorEastAsia"/>
          <w:b/>
          <w:bCs/>
          <w:sz w:val="24"/>
          <w:szCs w:val="24"/>
          <w:lang w:val="en-US" w:eastAsia="zh-CN" w:bidi="ar-SA"/>
        </w:rPr>
        <w:t>76.</w:t>
      </w:r>
      <w:r>
        <w:rPr>
          <w:rFonts w:hint="eastAsia"/>
        </w:rPr>
        <w:t>《关于金融支持工业稳增长调结构增效益的若干意见》</w:t>
      </w:r>
      <w:bookmarkEnd w:id="275"/>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人民银行、国家发展和改革委员会(含原国家发展计划委员会、原国家计划委员会)、工业和信息化部、财政部、商务部、中国银行业监督管理委员会(已撤销)、中国证券业监督管理委员会、中国保险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文号：银发〔2016〕42号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工业是国民经济的主导力量，是实体经济的骨架和国家竞争力的基础，是稳增长、调结构、转方式的主战场，也是创新的主战场，对经济发展全局至关重要。金融与实体经济、特别与工业是利益共同体，一荣俱荣，一损俱损。用好和创新金融工具，服务好实体经济和工业增效升级，是壮大和发展金融业、防范金融风险的根本举措和重要内容。按照党中央、国务院决策部署，为进一步增强金融服务能力，突破工业转型发展面临的融资难、融资贵瓶颈，加大金融对工业供给侧结构性改革和工业稳增长、调结构、增效益的支持力度，推动工业去产能、去库存、去杠杆、降成本、补短板、加快工业转型升级，经国务院同意，现提出如下意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、加强货币信贷政策支持，营造良好的货币金融环境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着力加强金融对工业供给侧结构性改革的支持。综合运用多种流动性管理工具，完善宏观审慎管理，加强预调、微调，保持流动性水平适度和货币市场稳定运行，引导货币信贷平稳增长。创新金融支持和服务方式。加强和改进对企业兼并重组、不良资产处置的力度和效率，积极稳妥推进工业化解过剩产能和库存。继续整顿金融服务乱收费，指导金融机构合理确定利率水平和收费项目，加大对不合理收费的查处力度，降低企业融资成本和债务负担。支持工业企业技术改造和设备更新，补齐工业软硬基础设施短板，提高企业创新发展能力，为工业稳增长调结构增效益创造有利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落实差别化工业信贷政策。引导银行业金融机构根据重大技改、产业升级、结构调整项目目录，进一步完善信贷准入标准，加大对战略性新兴产业、传统产业技术改造和转型升级等的支持力度。引导金融机构加大中长期贷款投入，加大对高新技术企业、重大技术装备、工业强基工程等领域的支持力度。制定出台金融支持制造强国建设指导意见，推动金融业全方位服务“中国制造2025”。鼓励银行业金融机构在风险可控前提下，适当降低新能源汽车、二手车的贷款首付比例，合理扩大汽车消费信贷，支持新能源汽车生产、消费及相关产业发展。引导银行业金融机构坚持区别对待、有扶有控原则，对钢铁、有色、建材、船舶、煤炭等行业中产品有竞争力、有市场、有效益的优质企业继续给予信贷支持，帮助有前景的企业渡过难关。支持工业企业积极稳妥化解产能过剩，对产能严重过剩行业未取得合法手续的新增产能建设项目，一律不得给予授信；对长期亏损、失去清偿能力和市场竞争力的“僵尸企业”，或环保、安全生产不达标且整改无望的企业及落后产能，坚决压缩退出相关贷款。制定银企对接行动方案，积极推动银企信息对接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加快工业信贷产品创新。引导金融机构紧密结合工业创新，加快发展支持工业领域大众创业、万众创新的金融产品和服务，深入挖掘工业增长潜力，积极培养工业发展新动能。积极支持工业领域“互联网+”行动，促进传统产业、大企业与市场迅速对接，实现工业制造企业和网络融合，着力改造工业发展传统动能。大力发展能效信贷、合同能源管理未来收益权质押贷款、排污权抵押贷款、碳排放权抵押贷款等绿色信贷业务，积极支持节能环保项目和服务。鼓励银行业金融机构开发自主品牌、商标专用权等企业无形资产质押贷款业务，支持消费品领域自主品牌建设。支持开展小微企业融资担保代偿补偿等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改进工业信贷管理制度。支持金融机构在有效管控风险的前提下，落实好无还本续贷、循环贷款等小微企业流动资金贷款还款方式创新，降低小微企业“过桥”融资成本。对资金周转出现暂时困难但仍具备清偿能力和市场竞争力的大中型企业，可在做好贷款质量监测和准确分类的同时，通过调整贷款期限、还款方式等贷款重组措施，缓解企业债务压力。推动行业主管部门进一步明确工业结构调整和转型升级方向，强化目录管理、标准管理等手段的约束力，提高“白名单”、“黑名单”的参考价值。加强金融机构同业沟通协调，积极开展联合授信，保持对工业企业的合理授信规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、加大资本市场、保险市场对工业企业的支持力度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加大工业企业直接融资的支持力度。支持符合“中国制造2025”和战略性新兴产业方向的制造业企业，在各层次资本市场进行股权融资。鼓励工业企业扩大发行标准化债权产品，替代其他高成本融资方式。对运作规范的工业企业，在完善偿债保障措施的基础上，支持其发行公司信用类债券用于调整债务结构。扩大公司信用类债券发行规模，拓展可交换债券、可转换债券市场。积极发展绿色债券、高收益债券、绿色资产证券化等创新金融工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提升各类投资基金支持能力。加快组建新兴产业创业投资引导基金，积极运作国家中小企业发展基金和先进制造产业投资基金，发挥财政资金的放大效应，吸引社会资本积极参与，鼓励地方加大投入，支持种子期、初创成长型中小企业和战略性新兴产业、先进制造业加快发展。优化专项建设基金投向，支持有助于传统产业加快转型升级的重大技术改造工程和培育新经济增长点的战略性新兴产业培育发展工程等，继续支持增强制造业核心竞争力等转型升级项目。探索为企业创新活动提供股权和债权相结合的融资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稳步推进资产证券化发展。进一步推进信贷资产证券化，支持银行通过盘活信贷存量加大对工业的信贷支持力度。加快推进住房和汽车贷款资产证券化。在审慎稳妥的前提下，选择少数符合条件的金融机构探索开展不良资产证券化试点。加快推进应收账款证券化等企业资产证券化业务发展，盘活工业企业存量资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不断提高工业保险服务水平。深入推进首台（套）重大技术装备保险补偿机制试点工作，研究将新材料、关键零部件纳入首批次应用保险保费补偿机制实施范围。推动保险公司尽快开发出更符合新能源汽车风险特征的专属保险产品。扩大中国保险投资基金对工业转型升级项目的投入。鼓励保险资产管理机构加快债权投资计划、股权投资计划、股债结合等资产管理产品创新，为战略性新兴产业、先进制造业等提供资金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、推动工业企业融资机制创新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大力发展应收账款融资。加强动产融资统一登记系统建设，改进完善应收账款质押和转让、特许经营权项下收益权质押、合同能源管理未来收益权质押、融资租赁、保证金质押、存货和仓单质押等登记服务。推动更多供应链加入应收账款质押融资服务平台，支持商业银行进一步扩大应收账款质押融资规模。建立应收账款交易机制，解决大企业拖欠中小微企业资金问题。推动大企业和政府采购主体积极确认应收账款，帮助中小企业供应商融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探索推进产融对接融合。支持符合条件的工业企业集团设立财务公司。探索开展企业集团财务公司延伸产业链金融服务试点。支持大企业设立产业创投基金，为产业链上下游创业者提供资金支持。积极稳妥推进投贷联动试点，有效防范风险，支持科技创新创业企业健康发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、促进工业企业兼并重组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优化工业企业兼并重组政策环境。进一步取消或简化上市公司兼并重组行政许可及审批事项，优化审核流程，落实好分行业审核机制，提高并购重组审核效率和透明度。研究完善并购重组股份定价机制、丰富并购重组支付工具。鼓励国有控股上市公司依托资本市场加强资源整合，调整优化产业布局，提高发展质量和效益。发挥市场在兼并重组中的决定性作用，引导金融机构与企业自主协商、妥善解决工业企业兼并重组中的金融债务重组问题，切实维护债权人合法权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扩宽工业企业兼并重组融资渠道。完善并购贷款业务，进一步扩大并购贷款规模，合理确定贷款期限。进一步推动金融机构对兼并重组工业企业实行综合授信。允许符合条件的工业企业通过发行优先股、可转换债券等筹集兼并重组资金。对于暂时困难、未来现金流有合理市场预期的工业企业，通过债务重组等多种方式有效降低其债务负担和杠杆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、支持工业企业加快“走出去”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三）完善对工业企业“走出去”的支持政策。简化境内企业境外融资核准程序，鼓励境内工业企业利用境外市场发行股票、债券和资产证券化产品。支持工业企业在对外经济活动中使用人民币计价结算，优化对外人民币贷款项目管理，鼓励工业企业使用人民币对外贷款和投资。加大出口信用保险对自主品牌、自主知识产权、战略性新兴产业的支持力度，扩大中长期出口信用保险覆盖面，对大型成套设备出口融资实现应保尽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四）加强对工业企业“走出去”的融资支持。进一步提高“两优”贷款支持力度，支持生产型海外项目建设。鼓励中国企业采用政府和社会资本合作（PPP）模式开展境外项目合作。推动工业企业用好“外保内贷”政策，支持“走出去”企业以境外资产和股权、矿权等权益为抵押获得贷款。支持国内工业企业与“一带一路”国家及产能合作重点国别企业开展多方面合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 、加强风险防范和协调配合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五）切实防范化解金融风险。积极稳妥做好“僵尸”企业信贷退出，维护银行信贷资产安全。充分发挥金融信用信息基础数据库作用，建立健全部门间联合惩戒机制，对恶意逃废银行债务和“恶意脱保”企业、个人形成强有力约束。督促银行用足用好现有核销政策，加快核销进度，做到“应核尽核”。落实好贷款损失税前扣除政策。完善不良贷款处置的市场主体准入、组包项目及户数等政策。进一步发挥金融资产管理公司和地方资产管理公司在参与企业破产重组和债务处置中的作用。各级金融监管部门要完善风险监测体系，督促金融机构提高风险管控能力，及时处置化解风险隐患，同时注意处置风险的风险，坚决守住不发生区域性、系统性金融风险的底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六）加强协调配合。对集中度较高的重点行业，明确优质骨干企业名单，通过引导金融资源集中支持，确保行业稳定发展。通过严格实施技术标准、环保标准等措施，加快推动不符合行业规范的企业主动升级或加快退出，促进金融资源有效配置。研究加大对关键环节和重点领域的财税政策支持力度，为金融支持工业稳增长调结构增效益提供适当的正向激励。明确地方人民政府在维护金融债权方面的责任，为金融机构支持实体经济发展解除后顾之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请人民银行上海总部、各分行、营业管理部、省会（首府）城市中心支行、副省级城市中心支行会同所在省（区、市）发展改革委、工业和信息化主管部门、财政厅（局）、商务主管部门、银监会、证监会及保监会派出机构将本意见迅速转发至辖区内相关机构，并做好政策贯彻实施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中国人民银行发展改革委</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工信部财政部商务部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银监会证监会保监会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2016年2月14日</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p>
    <w:p>
      <w:pPr>
        <w:pStyle w:val="2"/>
        <w:numPr>
          <w:ilvl w:val="0"/>
          <w:numId w:val="0"/>
        </w:numPr>
        <w:ind w:left="922" w:leftChars="0" w:hanging="440" w:firstLineChars="0"/>
      </w:pPr>
      <w:bookmarkStart w:id="276" w:name="_Toc6990"/>
      <w:r>
        <w:rPr>
          <w:rFonts w:cs="宋体" w:asciiTheme="majorEastAsia" w:hAnsiTheme="majorEastAsia" w:eastAsiaTheme="majorEastAsia"/>
          <w:b/>
          <w:bCs/>
          <w:sz w:val="24"/>
          <w:szCs w:val="24"/>
          <w:lang w:val="en-US" w:eastAsia="zh-CN" w:bidi="ar-SA"/>
        </w:rPr>
        <w:t>77.</w:t>
      </w:r>
      <w:r>
        <w:rPr>
          <w:rFonts w:hint="eastAsia"/>
        </w:rPr>
        <w:t>《银监会、科技部、中国人民银行关于支持银行业金融机构加大创新力度开展科创企业投贷联动试点的指导意见》</w:t>
      </w:r>
      <w:bookmarkEnd w:id="27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发文机构：中国银行业监督管理委员会(已撤销)、科学技术部、中国人民银行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文号：银监发〔2016〕14号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各省、自治区、直辖市、计划单列市科技厅（委、局）；中国人民银行上海总部，各分行、营业管理部、省会（首府）城市中心支行，副省级城市中心支行；各政策性银行、大型银行、股份制银行，邮储银行，外资银行，金融资产管理公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为完善科技金融服务模式，支持科技创新创业企业（以下简称科创企业）发展，现就银行业金融机构加大创新力度，开展科创企业投贷联动试点提出以下指导意见：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、总体要求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（一）指导思想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全面贯彻党的十八大和十八届三中、四中、五中全会精神，按照党中央、国务院决策部署，坚持创新、协调、绿色、开放、共享的发展理念，加快实施创新驱动发展战略，大力推进大众创业、万众创新，充分发挥银行业金融机构的积极作用，坚持改革驱动，努力探索符合中国国情、适合科创企业发展的金融服务模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（二）基本原则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1.统筹协调，稳步推进。加强多方协作，优化政策环境，整合各方资源，实现市场主导和政府支持相统一，股权投资和银行信贷相结合，引导银行业金融机构有序开展投贷联动试点工作，取得经验后稳步推广。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2.简政放权，因地制宜。充分发挥试点银行业金融机构的主体作用和试点地区银监局监管职能，强调结合试点地区实际情况制定试点方案，加强事中事后管理。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3.风险可控，商业可持续。银行业金融机构要探索建立合理的投贷联动业务发展模式，建立适应科创企业发展规律和金融需求的体制机制，实现风险可控、商业可持续。</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（三）试点目标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通过开展投贷联动试点，推动银行业金融机构基于科创企业成长周期前移金融服务，为种子期、初创期、成长期的科创企业提供资金支持，有效增加科创企业金融供给总量，优化金融供给结构，探索推动银行业金融机构业务创新发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、试点范围和条件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投贷联动的界定。投贷联动是指银行业金融机构以“信贷投放”与本集团设立的具有投资功能的子公司“股权投资”相结合的方式，通过相关制度安排，由投资收益抵补信贷风险，实现科创企业信贷风险和收益的匹配，为科创企业提供持续资金支持的融资模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（二）适用对象。适用于试点银行业金融机构面向试点地区的科创企业开展的投贷联动业务。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本指导意见所称科创企业是指试点地区内符合下列条件之一的科技型中小微企业：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1.满足高新技术企业认定条件、获得国家高新技术企业证书；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2.经试点地区政府认定且纳入地方政府风险补偿范畴；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3.经银行业金融机构审慎筛查后认定。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（三）试点银行业金融机构条件。投贷联动试点银行业金融机构应当具备如下条件：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1.公司治理完善，监管评级良好；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2.风险管控能力较强，投贷之间风险“防火墙”建设健全，能够严格隔离信贷业务和股权投资的风险，并表风险管理能力良好；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3.具备相应的专业人才和业务创新能力、服务科创企业的能力；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4.具备经董事会审议的投贷联动战略规划、实施方案和专门的管理制度；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5.银监会要求的其他条件。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（四）试点地区条件。试点地区应当具备以下条件：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1.科技资源较为丰富，科创企业聚集，创新创业生态系统较为完整；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2.地方政府对科技创新支持力度大，对科创企业的管理和服务体系比较完备，已提供或承诺提供有效的风险分担机制等政策支持；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3.社会诚信度较高，信用环境较好；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4.区域内银行业金融机构管理稳健，经营状况良好；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5.银监会要求的其他条件。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、试点机构的组织架构设置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设立投资功能子公司。试点机构在境内已设立具有投资功能子公司的，由其子公司开展股权投资进行投贷联动。试点机构未设立具有投资功能子公司的，经申请和依法批准后，允许设立具有投资功能子公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设立科技金融专营机构。试点机构可按照《中资商业银行专营机构监管指引》（银监发〔2012〕59号）规定，设立服务科创企业的科技金融专营机构及其分支机构（以下简称科技金融专营机构），专司与科创企业股权投资相结合的信贷投放。除发放贷款外，科技金融专营机构可以向科创企业提供包括结算、财务顾问、外汇等在内的一站式、系统化金融服务。试点机构也可以新设或改造部分分（支）行，作为从事科创企业金融服务的专业或特色分（支）行，开展科创企业信贷及相关金融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、业务管理与机制建设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建立“防火墙”。在开展投贷联动业务时，试点机构投资功能子公司应当以自有资金向科创企业进行股权投资，不得使用负债资金、代理资金、受托资金以及其他任何形式的非自有资金；投资功能子公司投资单一科创企业的比例不超过子公司自有资金的10%；面向科创企业的股权投资应当与其他投资业务隔离；投资功能子公司应当与银行母公司实行机构隔离、资金隔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银行开展科创企业信贷投放时，贷款来源应当为表内资金,不得使用理财资金、委托资金、代理资金等非表内资金。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（二）项目筛查。试点机构投资功能子公司应当建立项目筛查机制。根据自身市场定位、行业专长和风险偏好独立判断，开发合适的、市场前景良好和风险可承受的科创企业作为目标客户。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投资功能子公司定位。试点机构投资功能子公司应当作为财务投资人，可选择种子期、初创期、成长期的非上市科创企业进行股权投资，分享投资收益、承担相应风险。按照约定参与初创企业的经营管理，适时进行投资退出和管理退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（四）贷款“三查”。银行应当开展单独的科创企业贷款“三查”，对投资功能子公司的股权投资项目进行再筛查，确定投贷联动企业项目后跟进信贷投放。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在贷前调查时，可以增加技术专利和研发能力、管理团队构成和管理能力、商业模式和市场前景等要素。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在贷中审查时，应当建立单独的审批标准和审批流程，配备专业管理团队。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在贷后检查时，除直接对科创企业开展检查外，可以利用投资功能子公司等渠道掌握信息，将科创企业的成长性和后续融资能力等纳入评价要素。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（五）贷款定价。银行应当实行单独的科创企业贷款定价机制，根据科创企业发展前景、股权投资状况、业务成本、当地市场平均利率等因素综合确定贷款利率。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（六）信贷管理。银行应当建立单独的科创企业信贷管理制度，体现有别于传统模式的管理创新，单列信贷计划，单独进行财务资源配置。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在客户评价、业务模式、风险缓释方式、贷款额度和期限确定、还款方式等方面大力开展创新；进行担保创新，拓宽抵质押品范围，开发知识产权质押、股权质押等适合科创企业的担保方式。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多方合作。试点机构可以整合各方资源，综合利用各项扶持政策，加强与地方政府、担保公司、保险公司的合作，完善信息共享，健全风险分担和补偿机制。开展投贷联动业务前，试点机构应当与投资功能子公司、地方政府、担保公司、保险公司等主体建立整体合作框架，与相关各方签订合作协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风险容忍和风险分担。开展投贷联动业务时，试点机构应当合理设定科创企业的贷款风险容忍度，确定银行及其投资功能子公司、政府贷款风险补偿基金、担保公司、保险公司之间不良贷款本金的分担补偿机制和比例，使不良贷款率控制在设定的风险容忍度范围内。政府贷款风险补偿基金应当为纳入政府财政预算的资金。投资功能子公司分担的不良贷款损失由投贷联动业务中的投资收益覆盖。试点机构设立的投资功能子公司与银行科创企业信贷账务最终纳入银行集团并表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在投贷联动业务中，有关各方应当通过合同安排，对不良贷款风险分担权责进行明确。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（九）不良清收。银行应对科创企业不良贷款进行持续监测，包括已分担或未分担风险的不良贷款。已分担风险的不良贷款收回时，应当按照合同约定在承担风险分担责任的相关主体间分配。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（十）激励约束。试点机构应当针对科创企业特点，构建单独的激励约束机制，制定专门的业绩考核和奖惩机制，建立与科创企业贷款业务相适应的信贷文化。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在信贷人员绩效考核上，应当延长考核周期，体现科创企业的发展特点；应当制订差异化的风险容忍政策，适当提高科创企业贷款不良容忍度；应当制定专门的内部资金成本核算方式；应当完善信贷尽职免责机制，符合制度和业务流程、因不可抗力等原因导致的信贷损失，相关人员应当免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人才队伍。银行和投资功能子公司的管理层应当配备具有科技行业背景、科技金融专业知识的人员，加快引进、培养一支懂科技、懂金融的经营管理人才队伍。鼓励银行业金融机构根据自身条件确定重点支持的科技领域，培养专业化团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信息管理。试点机构应当建立符合科创企业信贷特点的专门流程，加强投贷联动业务管理信息系统开发。应当采取多种方式采集科创企业数据信息，积累资料，掌握科创企业成长发展规律，为开展科创企业金融服务储备信息资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（十三）业务退出。试点机构应当加强对投贷联动业务风险的监测评估，结合自身风险偏好，确定投贷联动业务试点退出的触发条件和机制，制定退出程序。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、实施和监测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试点省（市）银监局应依据本指导意见，结合各级政府支持科技创新的有关政策，因地制宜制定辖内试点机构开展投贷联动业务的具体实施方案，加强事中事后管理；试点银行业金融机构应向监管部门报送试点方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试点省（市）银监局制定的投贷联动具体实施方案及辖内试点机构试点方案应按照《银监会机关监管运行操作规程（试行）》（银监发〔2015〕6号）要求报送银监会备案。新设投资功能子公司和科技金融专营机构按照行政许可程序报批，审批机关要严格规范审批行为，严格限制自由裁量权，优化审批流程，提高审批效率，涉及新设行政许可的，依法履行新设行政许可程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（二）银监局应当加强试点情况监测管理和信息报送工作。持续监测试点机构投贷联动业务运行情况和风险状况，并按季报送银监会。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（三）根据试点工作开展情况，总结试点工作成效，按程序报批后，适时扩大试点机构、地区范围，推广试点成功经验。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（四）银行业金融机构与其他外部投资公司开展的投贷联动业务参照本指导意见执行。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中国银监会科技部中国人民银行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2016年4月15日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附件：</w:t>
      </w:r>
    </w:p>
    <w:p>
      <w:pPr>
        <w:spacing w:after="156" w:afterLines="50" w:line="360" w:lineRule="auto"/>
        <w:ind w:firstLine="482" w:firstLineChars="200"/>
        <w:rPr>
          <w:rFonts w:cs="宋体" w:asciiTheme="majorEastAsia" w:hAnsiTheme="majorEastAsia" w:eastAsiaTheme="majorEastAsia"/>
          <w:b/>
          <w:bCs/>
        </w:rPr>
      </w:pPr>
      <w:r>
        <w:rPr>
          <w:rFonts w:hint="eastAsia" w:cs="宋体" w:asciiTheme="majorEastAsia" w:hAnsiTheme="majorEastAsia" w:eastAsiaTheme="majorEastAsia"/>
          <w:b/>
          <w:bCs/>
        </w:rPr>
        <w:t>第一批试点地区和试点银行业金融机构名单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、试点地区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（一）北京中关村国家自主创新示范区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（二）武汉东湖国家自主创新示范区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（三）上海张江国家自主创新示范区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（四）天津滨海国家自主创新示范区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（五）西安国家自主创新示范区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、试点银行业金融机构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（一）国家开发银行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（二）中国银行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（三）恒丰银行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（四）北京银行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（五）天津银行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（六）上海银行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（七）汉口银行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（八）西安银行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（九）上海华瑞银行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（十）浦发硅谷银行</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以上机构中，国家开发银行、中国银行、恒丰银行等全国性银行可根据其分支机构设立情况在上述5个国家自主创新示范区开展试点；浦发硅谷银行可在现有机构和业务范围内开展试点；北京银行、天津银行、上海银行、汉口银行、西安银行、上海华瑞银行可在设有机构的国家自主创新示范区开展试点。</w:t>
      </w:r>
    </w:p>
    <w:p>
      <w:pPr>
        <w:pStyle w:val="2"/>
        <w:numPr>
          <w:ilvl w:val="0"/>
          <w:numId w:val="0"/>
        </w:numPr>
        <w:ind w:left="922" w:leftChars="0" w:hanging="440" w:firstLineChars="0"/>
      </w:pPr>
      <w:bookmarkStart w:id="277" w:name="_Toc31374"/>
      <w:r>
        <w:rPr>
          <w:rFonts w:cs="宋体" w:asciiTheme="majorEastAsia" w:hAnsiTheme="majorEastAsia" w:eastAsiaTheme="majorEastAsia"/>
          <w:b/>
          <w:bCs/>
          <w:sz w:val="24"/>
          <w:szCs w:val="24"/>
          <w:lang w:val="en-US" w:eastAsia="zh-CN" w:bidi="ar-SA"/>
        </w:rPr>
        <w:t>78.</w:t>
      </w:r>
      <w:r>
        <w:rPr>
          <w:rFonts w:hint="eastAsia"/>
        </w:rPr>
        <w:t>《中国银监会办公厅关于规范银行业金融机构信贷资产收益权转让业务的通知》</w:t>
      </w:r>
      <w:bookmarkEnd w:id="27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文号：银监办发[2016]82号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各银监局，各政策性银行、大型银行、股份制银行，邮储银行，外资银行，金融资产管理公司，其他会管金融机构，银行业信贷资产登记流转中心：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近年来，银行业金融机构开展信贷资产收益权转让业务，对进一步盘活信贷存量、加快资金周转发挥了积极作用，但部分业务存在交易结构不规范不透明，会计处理和资本、拨备计提不审慎等问题。为促进信贷资产收益权转让业务健康有序发展，现就有关事项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、信贷资产收益权转让应当遵守“报备办法、报告产品和登记交易”相关要求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报备办法。银行业金融机构应当制定信贷资产收益权转让业务管理制度；银行业信贷资产登记流转中心（以下简称银登中心）应当根据银监会相关要求，制定并发布信贷资产收益权转让业务规则和操作流程，并及时报送银监会备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(二）报告产品。银登中心应当根据银监会相关要求，制定并发布产品报告流程和备案审核要求；银行业金融机构应当向银登中心逐笔报送产品相关信息。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(三）登记交易。出让方银行应当依照《中国银监会办公厅关于银行业信贷资产流转集中登记的通知》（银监办发[2015]108号）相关规定，及时在银登中心办理信贷资产收益权转让集中登记。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、信贷资产收益权转让应当依法合规开展，有效防范风险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(一）出让方银行应当根据《商业银行资本管理办法（试行)》，在信贷资产收益权转让后按照原信贷资产全额计提资本。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出让方银行应当按照《企业会计准则》对信贷资产收益权转让业务进行会计核算和账务处理。开展不良资产收益权转让的，在继续涉入情形下，计算不良贷款余额、不良贷款比例和拨备覆盖率等指标时，出让方银行应当将继续涉入部分计入不良贷款统计口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(三）出让方银行应当根据《商业银行贷款损失准备管理办法》、《银行贷款损失准备计提指引》和《金融企业准备金计提管理办法》等相关规定，按照会计处理和风险实际承担情况计提拨备。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(四）出让方银行不得通过本行理财资金直接或间接投资本行信贷资产收益权，不得以任何方式承担显性或者隐性回购义务。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信贷资产收益权的投资者应当持续满足监管部门关于合格投资者的相关要求。不良资产收益权的投资者限于合格机构投资者，个人投资者参与认购的银行理财产品、信托计划和资产管理计划不得投资；对机构投资者资金来源应当实行穿透原则，不得通过嵌套等方式直接或变相引入个人投资者资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出让方银行和其他相关交易主体应当审慎评估信贷资产质量和风险，按照市场化原则合理定价，必要时委托会计师事务所、律师事务所、评级机构、估值机构等独立第三方机构，对相关业务环节出具专业意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(七）出让方银行和其他相关交易主体应当按照有关要求，向投资者及时、准确、完整披露拟转让收益权的信贷资产相关情况，并及时披露对投资者权益或投资收益等产生重大影响的突发事件。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符合上述规定的合格投资者认购的银行理财产品投资信贷资产收益权，按本通知要求在银登中心完成转让和集中登记的，相关资产不计入非标准化债权资产统计，在全国银行业理财信息登记系统中单独列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、银登中心应当加强市场监督，并及时报告重要情况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(一）开展业务产品备案审核。审核内容包括但不限于资产构成、交易结构、投资者适当性、信息披露和风险管控措施等。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(二）加强市场基础设施建设。完善信贷资产收益权转让相关平台功能，加强软硬件设施建设，保障系统运行的稳定性和连续性。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(三）及时报告重要情况。定期向银监会报告信贷资产收益权转让产品备案、登记转让信息和相关统计分析报告。发生重大突发事件时，应当及时向银监会报告。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、银行业监督管理机构对银行业金融机构的信贷资产收益权转让业务实施监督管理，必要时根据《中华人民共和国银行业监督管理法》等法律法规，采取相关监管措施或者实施行政处罚。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中国银监会办公厅</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2016年4月28日</w:t>
      </w:r>
    </w:p>
    <w:p>
      <w:pPr>
        <w:pStyle w:val="2"/>
        <w:numPr>
          <w:ilvl w:val="0"/>
          <w:numId w:val="0"/>
        </w:numPr>
        <w:ind w:left="922" w:leftChars="0" w:hanging="440" w:firstLineChars="0"/>
      </w:pPr>
      <w:bookmarkStart w:id="278" w:name="_Toc9974"/>
      <w:r>
        <w:rPr>
          <w:rFonts w:cs="宋体" w:asciiTheme="majorEastAsia" w:hAnsiTheme="majorEastAsia" w:eastAsiaTheme="majorEastAsia"/>
          <w:b/>
          <w:bCs/>
          <w:sz w:val="24"/>
          <w:szCs w:val="24"/>
          <w:lang w:val="en-US" w:eastAsia="zh-CN" w:bidi="ar-SA"/>
        </w:rPr>
        <w:t>79.</w:t>
      </w:r>
      <w:r>
        <w:rPr>
          <w:rFonts w:hint="eastAsia"/>
        </w:rPr>
        <w:t>《中国人民银行、中国银行业监督管理委员会关于加强票据业务监管促进票据市场健康发展的通知》</w:t>
      </w:r>
      <w:bookmarkEnd w:id="278"/>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发文机构：中国人民银行、中国银行业监督管理委员会（已撤销）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文号：银发〔2016〕126号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人民银行上海总部，各分行、营业管理部，各省会（首府）城市中心支行，深圳市中心支行；各省（自治区、直辖市）银监局；国家开发银行，各政策性银行、国有商业银行、股份制商业银行，中国邮政储蓄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近年来，基于商业汇票的各类票据市场业务快速增长，为拓宽企业融资渠道、优化银行业金融机构（以下简称银行）资产负债管理发挥了积极作用。但也存在部分票据业务发展不规范，部分银行有章不循、内控失效等问题，已引发系列票据案件，造成重大资金损失，业务风险不容忽视。为落实金融支持实体经济发展的要求，有效防范和控制票据业务风险，促进票据市场健康有序发展，现就加强票据业务监管、规范业务开展等事项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本通知所称的票据业务，是指中华人民共和国境内依法设立的银行，为客户办理的商业汇票承兑、贴现业务和银行之间办理的买断式转贴现业务，以及《中国人民银行中国银行业监督管理委员会中国证券监督管理委员会中国保险监督管理委员会国家外汇管理局关于规范金融机构同业业务的通知》（银发〔2014〕127号）中以票据类金融资产为基础资产的买入返售（卖出回购）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、强化票据业务内控管理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按业务实质建立审慎性考核机制。银行应建立科学的考核激励机制，按照《银行业金融机构绩效考评监管指引》（银监发〔2012〕34号文印发）的要求，合规经营类指标和风险管理类指标权重应当明显高于其他类指标，将承兑费率与垫款率等票据业务经营效益指标与风险管理类指标纳入考核，确保票据业务规模合理增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（二）加强实物票据保管。银行应建立监督有力、制约有效的票据保管制度，严格执行票据实物清点交接登记、出入库制度，加强定期查账、查库，做到账实相符，防范票据传递和保管风险。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严格规范同业账户管理。银行应严格执行《中国人民银行关于加强银行业金融机构人民币同业银行结算账户管理的通知》（银发〔2014〕178号）要求。开户银行必须通过大额支付系统向存款银行一级法人进行核实。严格规范异地同业账户的开立和使用管理，加强预留印鉴管理，不得出租、出借账户，严禁将本银行同业账户委托他人代为管理。开户银行和存款银行应按月对账，对账发现同业账户属于虚假开立或者资金流水异常的，应立即排查原因，对存在可疑情形的应在2个工作日内向监管部门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强化风险防控。银行应严格按照监管部门票据业务管理制度和本通知要求，认真梳理内部各项制度，规范业务流程设计，坚持关键岗位、职能部门分离制约。加强员工行为管控和行为排查，开展内部业务培训、道德教育，提升员工专业素养和合规意识。建立和持续优化票据业务系统，实现流程控制系统化，加强内控检查和业务审计，确保内控制度和监管要求落实到位，防范道德风险和操作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、坚持贸易背景真实性要求，严禁资金空转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严格贸易背景真实性审查。银行应加强对相关交易合同、增值税发票或普通发票的真实性审查，并可增验运输单据、出入库单据等，确保相关票据反映的交易内容与企业经营范围、真实经营状况、以及相关单据内容的一致性。通过对已承兑、贴现商业汇票所附发票、单据等凭证原件正面加注的方式，防范虚假交易或相关资料的重复使用。严禁为票据业务量与其实际经营情况明显不符的企业办理承兑和贴现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加强客户授信调查和统一授信管理。银行应科学核定客户表内外票据业务授信规模，并将其纳入总体授信管理框架中。根据票据业务具体的授信种类搜集客户资料，包含但不限于基本信息、财务信息和非财务信息等，杜绝超额授信。银行应按照《商业银行授信工作尽职指引》（银监发〔2004〕51号文印发）的要求做好对不同票据业务授信品种的分析评价。在客户原有信用等级和业务评价水平的有效期内，发生影响客户授信等的重大事项，银行应及时调整相关风险分析与评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加强承兑保证金管理。银行应确保承兑保证金为货币资金，比例适当且及时足额到位，保证金未覆盖部分所要求的抵押、质押或第三方保证必须严格依法落实。应识别承兑保证金的资金来源，不得办理将贷款和贴现资金转存保证金后滚动申请银行承兑汇票的业务。保证金账户应独立设置，不得与银行其他资金合并存放。保证金管理应通过系统控制，不得挪用或随意提前支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（四）不得掩盖信用风险。银行不得利用贴现资金借新还旧，调节信贷质量指标；不得发放贷款偿还银行承兑汇票垫款，掩盖不良资产。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、规范票据交易行为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严格执行同业业务的统一管理要求。银行应严格按照《中国人民银行中国银行业监督管理委员会中国证券监督管理委员会中国保险监督管理委员会国家外汇管理局关于规范金融机构同业业务的通知》和《中国银监会办公厅关于规范商业银行同业业务治理的通知》（银监办发〔2014〕140号）要求，将银行承兑汇票买入返售（卖出回购）业务纳入全面风险管理，严格实施集中统一授权、授信、审批，完善前、中、后台分设的内部控制机制，强化业务管理。按照会计准则要求，釆用正确的会计处理方法，对买入返售（卖出回购）业务单独列立会计科目，严格按照业务合同（协议）规定进行会计核算。</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加强交易对手资质管理。银行应对买入返售（卖出回购）的交易对手由法人总部进行集中统一的名单制管理，定期评估交易对手信用风险，动态调整交易对手名单，不得与交易对手名单之外的机构开展买入返售（卖出回购）票据等同业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规范纸质票据背书要求。受理转贴现业务时，拟贴入银行必须确认交易对手已记载背书，禁止无背书买卖票据；已贴入银行必须于转贴现业务当日在本手背书的被背书人栏记载本机构名称，保障自身票据权利。受理买入返售业务时，拟买入返售银行必须确认交易对手是最后一手票据背书记载的被背书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禁止离行离柜办理纸质票据业务。转贴现、买入返售（卖出回购）的交易双方应在交易一方营业场所内逐张办理票据审验和交接。买入返售（卖出回购）交易对应的票据资产需要封包的，交易双方应在买入方营业场所内办理票据审验和交接。票据实物应由买入方保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严格资金划付要求。办理转贴现贴入和买入返售（卖出回购）业务时，转入行应将资金划入票据转出行在中国人民银行开立的存款准备金账户，或票据转出行在本银行开立的账户，防止资金体外循环。通过被代理方式办理电子商业汇票业务的金融机构，可以使用在代理行开立的、与电子商业汇票业务关联的同业账户办理资金收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（六）禁止各类违规交易。严禁银行与非法“票据中介”、“资金掮客”开展业务合作，不得开展以“票据中介”、“资金掮客”为买方或卖方的票据交易。禁止跨行清单交易、一票多卖。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、开展风险自查，强化监督检查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（一）全面开展票据业务风险自查。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应于2016年6月30日前，在全系统开展票据业务风险排查，对存在的风险隐患，立即釆取有效措施堵塞漏洞。重点排查将公章、印鉴、同业账户出租、出借行为，与交易对手名单之外机构开展交易的行为，以及为他行“做通道”、“消规模”，不按规定进行会计核算的行为。对违规开立和使用的同业账户，应予撤销；对疑似“票据中介”、“资金掮客”等客户或交易对手，应及时审慎处置；对已形成资金损失或涉嫌违法犯罪的，应及时向监管部门报告，移交公安部门处理。银行应于2016年7月15日前，将风险自查情况同时报送中国人民银行和银行业监督管理部门，全国性银行报送中国人民银行总行和中国银行业监督管理委员会，其他银行报送法人所在地中国人民银行上海总部、各分行、营业管理部、省会（首府）城市中心支行、深圳市中心支行（以下统称人民银行副省级城市中心支行以上分支机构）和各省（自治区、直辖市）银监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（二）加大监督检查力度，增强监管实效。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人民银行总行和副省级城市中心支行以上分支机构，中国银行业监督管理委员会和各省（自治区、直辖市）银监局，要依照法定职责加大对票据业务的现场和非现场检查力度，增强监管实效，强化制度执行，整顿市场秩序；严肃票据业务纪律，公布咨询举报电话、畅通举报渠道。对接受举报和执法检查中，发现银行存在违规操作的，依法严肃查处并督促及时整改。对违规情节严重的，视情况釆取暂停市场准入、暂停票据业务等监管措施，依法追究直接责任人员和相关高管人员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请中国人民银行副省级城市中心支行以上分支机构，各省（自治区、直辖市）银监局将本通知联合转发至辖区内各城市商业银行、农村商业银行、农村合作银行、外资银行、农村信用社和村镇银行。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执行中如遇问题，请及时报告中国人民银行、中国银行业监督管理委员会。</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p>
    <w:p>
      <w:pPr>
        <w:pStyle w:val="2"/>
        <w:numPr>
          <w:ilvl w:val="0"/>
          <w:numId w:val="0"/>
        </w:numPr>
        <w:ind w:left="922" w:leftChars="0" w:hanging="440" w:firstLineChars="0"/>
      </w:pPr>
      <w:bookmarkStart w:id="279" w:name="_Toc14711"/>
      <w:r>
        <w:rPr>
          <w:rFonts w:cs="宋体" w:asciiTheme="majorEastAsia" w:hAnsiTheme="majorEastAsia" w:eastAsiaTheme="majorEastAsia"/>
          <w:b/>
          <w:bCs/>
          <w:sz w:val="24"/>
          <w:szCs w:val="24"/>
          <w:lang w:val="en-US" w:eastAsia="zh-CN" w:bidi="ar-SA"/>
        </w:rPr>
        <w:t>80.</w:t>
      </w:r>
      <w:r>
        <w:rPr>
          <w:rFonts w:hint="eastAsia"/>
        </w:rPr>
        <w:t>《中国银监会办公厅关于做好银行业金融机构债权人委员会有关工作的通知》</w:t>
      </w:r>
      <w:bookmarkEnd w:id="279"/>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文号：银监办便函〔2016〕1196号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各银监局，各政策性银行、大型银行、股份制银行，邮储银行，外资银行，金融资产管理公司，其他会管机构：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为加强金融债权管理，维护经济金融秩序，支持实体经济发展，做好银行业金融机构债权人委员会（以下简称“债委会”）有关工作，现就相关事项通知如下：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、债委会是由债务规模较大的困难企业三家以上债权银行业金融机构发起成立的协商性、自律性、临时性组织。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债委会的职责是依法维护银行业金融机构的合法权益，推动债权银行业金融机构精准发力、分类施策，有效保护金融债权，支持实体经济发展。债委会按照“一企一策”的方针集体研究增贷、稳贷、减贷、重组等措施，有序开展债务重组、资产保全等相关工作，确保银行业金融机构形成合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、债委会应当按照“市场化、法治化、公平公正”的原则开展工作。债委会实施债务重组的，应当采取多方支持、市场主导、保持稳定的措施，积极争取企业发展的有利条件，实现银企共赢。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、债委会可以由债权银行业金融机构自行发起成立。债委会要明确主席单位和副主席单位，启动相关工作。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、债务企业的所有债权银行业金融机构和银监会批准设立的其他金融机构原则上应当参加债委会；非银监会批准设立的金融机构债权人，也可以加入债委会。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 、债委会主席单位原则上由债权金额较大且有协调能力和意愿的一至两家银行业金融机构担任，副主席单位可以由代表债权金额较大的银行业金融机构和代表债权金额较小的银行业金融机构共同组成。其他债权金融机构应当按照要求出席相关会议。债委会应当设立工作组，负责日常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 、债委会原则上由企业所在地的债权银行业金融机构组建。涉及中央企业以及重大复杂的企业集团，可以在总行层面组建债委会。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 、债委会成员应当签署《债权人协议》。《债权人协议》是债委会有约束力的法律文件，协议内容包括但不限于以下事项：债委会组织架构、议事规则、权利义务及共同约定、相关费用等。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 、债委会应当制定议事规则，所有债权金融机构按照议事规则开展活动。重大事项、主要议题由主席单位及副主席单位召开会议共同协商，达成共识后，形成会议纪要。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债委会重大事项的确定，原则上应当同时符合以下条件：一是经占金融债权总金额的三分之二以上比例债委会成员同意；二是经全体债委会成员过半数同意。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 、债委会对企业实施金融债务重组的，企业一般应当具备以下条件：企业发展符合国家宏观经济政策、产业政策和金融支持政策；企业产品或服务有市场、发展有前景，具有一定的重组价值；企业和债权银行业金融机构有金融债务重组意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 、债委会实施金融债务重组的，可以采取协议重组和协议并司法重组的方式。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 、债委会应当积极与企业进行协商谈判，研究讨论金融债务重组及债委会其他工作。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实施金融债务重组的，重组双方围绕重组方式、重组安排及方案内容，开展协商和谈判。主席单位、副主席单位与企业共同研究，形成金融债务重组初步方案后，由主席单位提交债委会全体成员大会讨论，按照议事规则进行表决。表决通过后，发送各债权金融机构和债务企业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十三 、为保证企业的正常运营，企业提出的新资金需求有充分理由的，债委会可以通过组建银团贷款、建立联合授信机制或封闭式融资等方式予以支持。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各债权银行业金融机构应当一致行动，切实做到稳定预期、稳定信贷、稳定支持，不得随意停贷、抽贷；可通过必要的、风险可控的收回再贷、展期续贷等方式，最大限度地帮助企业实现解困。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十四 、各银行业金融机构要建立债委会相关工作的授权沟通机制，将债委会工作纳入内部管理体系，建立授权沟通机制，适当下放权限，确保债委会工作高效、有序开展。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十五 、债委会成立后，主席单位应当以债委会的名义将债委会成立情况、重要事项等及时向银行业监督管理机构报告。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十六 、银行业监督管理机构依法对债权人委员会和金融债务重组等工作进行指导、协调和监督；支持银行业协会在债务重组等工作中发挥积极作用；鼓励金融资产管理公司、地方资产管理公司积极参与债务重组等相关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执行中有疑问的，请及时与银监会法规部联系。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2016年7月6日</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p>
    <w:p>
      <w:pPr>
        <w:pStyle w:val="2"/>
        <w:numPr>
          <w:ilvl w:val="0"/>
          <w:numId w:val="0"/>
        </w:numPr>
        <w:ind w:left="922" w:leftChars="0" w:hanging="440" w:firstLineChars="0"/>
      </w:pPr>
      <w:bookmarkStart w:id="280" w:name="_Toc6203"/>
      <w:r>
        <w:rPr>
          <w:rFonts w:cs="宋体" w:asciiTheme="majorEastAsia" w:hAnsiTheme="majorEastAsia" w:eastAsiaTheme="majorEastAsia"/>
          <w:b/>
          <w:bCs/>
          <w:sz w:val="24"/>
          <w:szCs w:val="24"/>
          <w:lang w:val="en-US" w:eastAsia="zh-CN" w:bidi="ar-SA"/>
        </w:rPr>
        <w:t>81.</w:t>
      </w:r>
      <w:r>
        <w:rPr>
          <w:rFonts w:hint="eastAsia"/>
        </w:rPr>
        <w:t>《中国人民银行关于规范和促进电子商业汇票业务发展的通知》</w:t>
      </w:r>
      <w:bookmarkEnd w:id="280"/>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发文机构：中国人民银行</w:t>
      </w:r>
      <w:r>
        <w:rPr>
          <w:rFonts w:hint="eastAsia" w:cs="宋体" w:asciiTheme="majorEastAsia" w:hAnsiTheme="majorEastAsia" w:eastAsiaTheme="majorEastAsia"/>
        </w:rPr>
        <w:tab/>
      </w:r>
      <w:r>
        <w:rPr>
          <w:rFonts w:hint="eastAsia" w:cs="宋体" w:asciiTheme="majorEastAsia" w:hAnsiTheme="majorEastAsia" w:eastAsiaTheme="majorEastAsia"/>
        </w:rPr>
        <w:t>文号：银发〔2016〕224号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人民银行上海总部，各分行、营业管理部，各省会(首府)城市中心支行，深圳市中心支行;国家开发银行，各政策性银行、国有商业银行、股份制商业银行，中国邮政储蓄银行;城市商业银行资金清算中心、农信银资金清算中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为充分发挥电子商业汇票(以下简称电票)系统和电票业务优势，防范纸质商业汇票(以下简称纸票)业务风险，加快票据市场电子化进程，现就规范和促进电票业务发展有关事项通知如下：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、扩大系统覆盖率，扩充系统功能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(一)扩大系统覆盖率，优化电票流通环境。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尚未接入电票系统的银行业金融机构、财务公司(以下统称金融机构)应加快接入，已接入电票系统的金融机构在风险可控的前提下应尽可能提高网点开通率。各金融机构要完善内部业务系统的电票业务处理功能，支持发起和接收跨行承兑、跨行贴现等业务，支持向被代理接入机构发起和接收各类票据业务，不得对电票的跨行流转设置障碍。各银行业金融机构应同时支持线上、线下两种资金清算方式。已开通线上清算功能的金融机构间开展票据转贴现业务，原则上应采用票款对付(DVP)结算方式。人民银行上海总部、各分行、营业管理部、省会(首府)城市中心支行、深圳市中心支行(以下统称人民银行省级分支机构)应支持尚未开通电票再贴现业务的人民银行地市中心支行接入电票系统，提供电票再贴现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(二)持续开放电票模拟运行环境，提供测试便利。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人民银行清算总中心应持续开放电票系统模拟运行环境，提高模拟运行环境的容纳量，为金融机构业务测试提供有力支持。需接入模拟运行环境开展测试的金融机构应向清算总中心报送测试需求及计划，清算总中心应在收到金融机构测试申请之日起1个月内安排测试，测试周期不得短于2个月(金融机构主动结束测试周期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(三)全面推广财务公司线上清算功能。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自2016年9月1日起，分批组织符合条件的财务公司开通线上清算功能。拟开通线上清算功能的财务公司应及时将业务需求连同《财务公司线上清算功能权限开通申请表》(见附件)以正式文件通过法人所在地人民银行省级分支机构上报人民银行总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(四)增加电票交易主体。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自2016年9月1日起，除银行业金融机构和财务公司以外的、作为银行间债券市场交易主体的其他金融机构可以通过银行业金融机构代理加入电票系统，开展电票转贴现(含买断式和回购式)、提示付款等规定业务。此类被代理机构在电票系统中的主体识别码采用“RC03”，代理机构应通过系统控制，限制被代理非银行金融机构的承兑、贴现和再贴现等业务权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、提高服务水平，简化业务操作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(一)提高服务水平，便利企业使用电票。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行业金融机构应着力提升客户服务水平，通过官方网站、宣传折页等途径公布开通电票业务的机构网点、咨询电话，制作简明易懂的业务申请和操作指南，根据客户需求提供集中培训、上门指导等服务。各金融机构应以上下游关系密切的产业链龙头企业或集团企业为重点，带动产业链上下游企业使用电票;可以采取提高综合营销力度、优先办理电票贴现、给予费率优惠等方式，鼓励和引导企业签发、收受、转让电票。有条件的金融机构还应为企业办理柜面电票业务、批量电票业务和集团企业集中管理电票业务提供便利。鼓励金融机构基于协议代理客户发起出票(含提示承兑和交付申请)、转让背书、贴现申请等行为并作出电子签名。中国支付清算协会应组织制定统一的电票客户端功能标准与操作规范，指导金融机构进一步统一和完善网银客户界面应显示的基本功能和操作服务，便利企业办理电票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(二)增强商业信用，发展电子商业承兑汇票。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金融机构应选择资信状况良好、产供销关系稳定的企业，鼓励其签发、收受和转让电子商业承兑汇票;探索采用保函、保证与保贴业务等形式，增强电子商业承兑汇票信用，促进电子商业承兑汇票流通。鼓励电子商业承兑汇票的出票人、承兑人进行信用评级，充分利用电票系统的评级信息登记功能，提高票据信用保障，并严格遵守“恪守信用、履约付款”的结算原则，及时足额兑付到期电子商业承兑汇票。电子商业承兑汇票的收受人可利用电票系统的支付信用查询功能了解出票人和承兑人的资信状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(三)提高贸易背景真实性审查效率。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对资信良好的企业申请电票承兑的，金融机构可通过审查合同、发票等材料的影印件，企业电子签名的方式，对电票的真实交易关系和债权债务关系进行在线审核。对电子商务企业申请电票承兑的，金融机构可通过审查电子订单或电子发票的方式，对电票的真实交易关系和债权债务关系进行在线审核。企业申请电票贴现的，无需向金融机构提供合同、发票等资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(四)简化转贴现操作。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金融机构办理电票转贴现业务(含买断式和回购式)时，无需再签订线下协议，如有需约定的事项，金融机构可以通过电票系统合同模块签订协议，或在备注栏内加注约定有关事项。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、规范操作，确保业务有序开展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(一)规范录入组织机构代码。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持加载统一社会信息代码营业执照的企业，在电票系统开展业务时，“组织机构代码”字段应录入统一社会信用代码的第9-第17位主体识别码，录入规则仍按照电票系统报文格式标准中组织机构代码的要求录入10位，第9位固定录入“-”。对未换发统一社会信用代码营业执照的企业，仍按照原业务规则录入组织机构代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(二)有效审核电票背书连续性。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对于电票前手被背书入与后手背书人的账号、开户行行号、组织机构代码和身份类别均相同但名称有所不同的，不影响票据背书连续性的认定，承兑人应及时给付票据款项。如确需相关当事人说明的，承兑人应及时通过大额支付系统查询查复报文或其他方式联系相关当事人或当事人开户行予以证实。</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(三)严格履行电票付款责任。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持票人在电子锒行承兑汇票提示付款期内提示付款的，如提示付款指令于中午12:00前发出，承兑人应在收到提示付款请求的当日(遇法定休假日、大额支付系统非营业日、电票系统非营业日顺延，下同)付款或拒绝付款;如提示付款指令于中午12:00后发出，承兑人应在收到提示付款请求的当日至迟次日付款或拒绝付款。电子商业承兑汇票承兑人的接入机构应及时将持票人的提示付款请求通知承兑人，承兑人在收到请求次日起第三日仍未应答的，接入机构应按协议约定代为应答。</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(四)强化电票系统代理接入真实性审核。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直连接入电票系统的金融机构提供电票代理接入服务时，应对被代理机构基本信息及身份的真实性进行审核，且须通过大额支付系统向被代理机构进行核实确认(查询报文内容至少包括申请人全称、法定代表人姓名、营业执照编号、金融许可证编号、查询事项等)，被代理机构应给予同意接入或不同意接入的明确答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(五)严格落实纸质商业汇票登记制度。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人民银行省级分支机构在办理银行业金融机构票据制版批复时，应按要求审核其加入电票系统开通纸票登记查询功能或委托其他银行业金融机构代理登记纸票业务的相关证明文件。各金融机构应严格落实《纸质商业汇票登记查询管理办法》(银发〔2009〕328号文印发)相关要求。未实现纸票登记信息由系统自动导入或法人机构统一登记的金融机构，应加强对其分支机构登记情况的管理和审查，确保其及时、准确、完整登记相关信息。纸票买入返售(卖出回购)业务的转入行按照转贴现业务登记要求办理登记;原转出照转贴现业务登记要求办理登记;原转出行办理纸票赎回业务应参照转贴现业务登记要求办理登记，其中转贴现日期填写纸票赎回日，备注栏注明“赎回”字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(六)完善票据业务查询查复制度。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根据《最高人民法院关于人民法院发布公示催告程序中公告有关问题的通知》(法〔2016〕109号)有关规定，各金融机构应在办理票据(含纸票)贴现、转贴现、质押等业务时，通过查询电票系统以及中国法院网、法院公告网、人民法院报网站等方式，及时掌握票据是否被挂失止付或公示催告等信息;应严格执行支付系统查询查复有关规定，全面、如实地向查询行回复票据司法涉诉、冻结等信息，切实防范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、健全考评机制，强化业务监管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(一)明确工作目标，有效提升电票业务占比。</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金融机构应严格落实电票业务各项制度规定，采取有效措施，规范有序开展电票业务，有效提升电票业务占比，确保办理的电票承兑业务在本机构办理的全部商业汇票承兑业务中金额占比逐年提高。自2017年1月1日起，单张出票金额在300万元以上的商业汇票应全部通过电票办理;自2018年1月1日起，原则上单张出票金额在100万元以上的商业汇票应全部通过电票办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(二)建立考核通报机制。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金融机构应结合本机构实际和本通知要求，制定本机构推广电票应用的细化措施和推进时间表，并对本机构内部系统支持跨行业务和被代理机构业务的功能进行自查，不符合要求的应及时整改优化，于2016年10月15日前以正式文件向人民银行报送细化措施、推进时间表和系统功能改造情况，并于每年1月20日前报送上一年度电票业务推进情况。其中，国家开发银行，各政策性银行、国有商业银行、股份制商业银行，中国邮政储蓄银行、城市商业银行资金清算中心、农信银资金清算中心报送人民银行总行，城市商业银行、农村商业银行、农村合作银行、农村信用社、村镇银行、外资银行、财务公司报送法人所在地人民银行省级分支机构。人民银行总行和省级分支机构建立对金融机构电票业务推广情况的考核评价机制，按年度逬行考核督促，对年度考核中未达标的金融机构，予以通报并督促整改。人民银行省级分支机构应结合辖区实际和本通知要求，制定本辖区推广电票的细化措施和推进时间表，于2016年10月15日前以正式文件报送人民银行总行，并于每年1月20日前报送上一年度电票业务推进情况。人民银行总行建立对各省级分支机构电票业务推广情况的考核评价机制，按年度进行考核督促，完成情况纳入支付结算工作年度考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(三)畅通举报渠道，加大执法检查力度。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人民银行省级分支机构应严肃电票结算和纸票业务登记纪律，公布咨询举报电话、畅通举报机制;在支付结算执法检查中，应重点检查金融机构电票业务开展和推广的情况。对接受举报和执法检查中，发现金融机构存在纸票登记不规范、内部电票系统功能不符合跨行业务要求等违规行为的，应依法严肃查处并督促其及时整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请人民银行省级分支机构将本通知转发至辖区内人民银行地市中心支行，各城市商业银行、农村商业银行、农村合作银行、农村信用社、村镇银行、外资银行、财务公司。执行中如遇问题，请及时向人民银行总行反映。</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576" w:header="851" w:footer="992" w:gutter="0"/>
          <w:cols w:space="425" w:num="1"/>
          <w:docGrid w:type="lines" w:linePitch="312" w:charSpace="0"/>
        </w:sectPr>
      </w:pPr>
    </w:p>
    <w:p>
      <w:pPr>
        <w:pStyle w:val="2"/>
        <w:numPr>
          <w:ilvl w:val="0"/>
          <w:numId w:val="0"/>
        </w:numPr>
        <w:ind w:left="922" w:leftChars="0" w:hanging="440" w:firstLineChars="0"/>
      </w:pPr>
      <w:bookmarkStart w:id="281" w:name="_Toc24780"/>
      <w:r>
        <w:rPr>
          <w:rFonts w:cs="宋体" w:asciiTheme="majorEastAsia" w:hAnsiTheme="majorEastAsia" w:eastAsiaTheme="majorEastAsia"/>
          <w:b/>
          <w:bCs/>
          <w:sz w:val="24"/>
          <w:szCs w:val="24"/>
          <w:lang w:val="en-US" w:eastAsia="zh-CN" w:bidi="ar-SA"/>
        </w:rPr>
        <w:t>82.</w:t>
      </w:r>
      <w:r>
        <w:rPr>
          <w:rFonts w:hint="eastAsia"/>
        </w:rPr>
        <w:t>《构建绿色金融体系的指导意见》</w:t>
      </w:r>
      <w:bookmarkEnd w:id="281"/>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发文机构：财政部、国家发展和改革委员会、中国人民银行</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文号：银发〔2016〕228号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目前，我国正处于经济结构调整和发展方式转变的关键时期，对支持绿色产业和经济、社会可持续发展的绿色金融的需求不断扩大。为全面贯彻《中共中央国务院关于加快推进生态文明建设的意见》和《生态文明体制改革总体方案》精神，坚持创新、协调、绿色、开放、共享的发展理念，落实政府工作报告部署，从经济可持续发展全局出发，建立健全绿色金融体系，发挥资本市场优化资源配置、服务实体经济的功能，支持和促进生态文明建设，经国务院同意，现提出以下意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、构建绿色金融体系的重要意义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（一）绿色金融是指为支持环境改善、应对气候变化和资源节约高效利用的经济活动，即对环保、节能、清洁能源、绿色交通、绿色建筑等领域的项目投融资、项目运营、风险管理等所提供的金融服务。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（二）绿色金融体系是指通过绿色信贷、绿色债券、绿色股票指数和相关产品、绿色发展基金、绿色保险、碳金融等金融工具和相关政策支持经济向绿色化转型的制度安排。</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构建绿色金融体系主要目的是动员和激励更多社会资本投入到绿色产业，同时更有效地抑制污染性投资。构建绿色金融体系，不仅有助于加快我国经济向绿色化转型，支持生态文明建设，也有利于促进环保、新能源、节能等领域的技术进步，加快培育新的经济增长点，提升经济增长潜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建立健全绿色金融体系，需要金融、财政、环保等政策和相关法律法规的配套支持，通过建立适当的激励和约束机制解决项目环境外部性问题。同时，也需要金融机构和金融市场加大创新力度，通过发展新的金融工具和服务手段，解决绿色投融资所面临的期限错配、信息不对称、产品和分析工具缺失等问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、大力发展绿色信贷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构建支持绿色信贷的政策体系。完善绿色信贷统计制度，加强绿色信贷实施情况监测评价。探索通过再贷款和建立专业化担保机制等措施支持绿色信贷发展。对于绿色信贷支持的项目，可按规定申请财政贴息支持。探索将绿色信贷纳入宏观审慎评估框架，并将绿色信贷实施情况关键指标评价结果、银行绿色评价结果作为重要参考，纳入相关指标体系，形成支持绿色信贷等绿色业务的激励机制和抑制高污染、高能耗和产能过剩行业贷款的约束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推动银行业自律组织逐步建立银行绿色评价机制。明确评价指标设计、评价工作的组织流程及评价结果的合理运用，通过银行绿色评价机制引导金融机构积极开展绿色金融业务，做好环境风险管理。对主要银行先行开展绿色信贷业绩评价，在取得经验的基础上，逐渐将绿色银行评价范围扩大至中小商业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推动绿色信贷资产证券化。在总结前期绿色信贷资产证券化业务试点经验的基础上，通过进一步扩大参与机构范围，规范绿色信贷基础资产遴选，探索高效、低成本抵质押权变更登记方式，提升绿色信贷资产证券化市场流动性，加强相关信息披露管理等举措，推动绿色信贷资产证券化业务常态化发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（八）研究明确贷款人环境法律责任。依据我国相关法律法规，借鉴环境法律责任相关国际经验，立足国情探索研究明确贷款人尽职免责要求和环境保护法律责任，适时提出相关立法建议。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（九）支持和引导银行等金融机构建立符合绿色企业和项目特点的信贷管理制度，优化授信审批流程，在风险可控的前提下对绿色企业和项目加大支持力度，坚决取消不合理收费，降低绿色信贷成本。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支持银行和其他金融机构在开展信贷资产质量压力测试时，将环境和社会风险作为重要的影响因素，并在资产配置和内部定价中予以充分考虑。鼓励银行和其他金融机构对环境高风险领域的贷款和资产风险敞口进行评估，定量分析风险敞口在未来各种情景下对金融机构可能带来的信用和市场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（十一）将企业环境违法违规信息等企业环境信息纳入金融信用信息基础数据库，建立企业环境信息的共享机制，为金融机构的贷款和投资决策提供依据。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、推动证券市场支持绿色投资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完善绿色债券的相关规章制度，统一绿色债券界定标准。研究完善各类绿色债券发行的相关业务指引、自律性规则，明确发行绿色债券筹集的资金专门（或主要）用于绿色项目。加强部门间协调，建立和完善我国统一的绿色债券界定标准，明确发行绿色债券的信息披露要求和监管安排等。支持符合条件的机构发行绿色债券和相关产品，提高核准（备案）效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（十三）采取措施降低绿色债券的融资成本。支持地方和市场机构通过专业化的担保和增信机制支持绿色债券的发行，研究制定有助于降低绿色债券融资成本的其他措施。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四）研究探索绿色债券第三方评估和评级标准。规范第三方认证机构对绿色债券评估的质量要求。鼓励机构投资者在进行投资决策时参考绿色评估报告。鼓励信用评级机构在信用评级过程中专门评估发行人的绿色信用记录、募投项目绿色程度、环境成本对发行人及债项信用等级的影响，并在信用评级报告中进行单独披露。</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（十五）积极支持符合条件的绿色企业上市融资和再融资。在符合发行上市相应法律法规、政策的前提下，积极支持符合条件的绿色企业按照法定程序发行上市。支持已上市绿色企业通过增发等方式进行再融资。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（十六）支持开发绿色债券指数、绿色股票指数以及相关产品。鼓励相关金融机构以绿色指数为基础开发公募、私募基金等绿色金融产品，满足投资者需要。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七）逐步建立和完善上市公司和发债企业强制性环境信息披露制度。对属于环境保护部门公布的重点排污单位的上市公司，研究制定并严格执行对主要污染物达标排放情况、企业环保设施建设和运行情况以及重大环境事件的具体信息披露要求。加大对伪造环境信息的上市公司和发债企业的惩罚力度。培育第三方专业机构为上市公司和发债企业提供环境信息披露服务的能力。鼓励第三方专业机构参与采集、研究和发布企业环境信息与分析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八）引导各类机构投资者投资绿色金融产品。鼓励养老基金、保险资金等长期资金开展绿色投资，鼓励投资人发布绿色投资责任报告。提升机构投资者对所投资资产涉及的环境风险和碳排放的分析能力，就环境和气候因素对机构投资者（尤其是保险公司）的影响开展压力测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、设立绿色发展基金，通过政府和社会资本合作（PPP）模式动员社会资本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九）支持设立各类绿色发展基金，实行市场化运作。中央财政整合现有节能环保等专项资金设立国家绿色发展基金，投资绿色产业，体现国家对绿色投资的引导和政策信号作用。鼓励有条件的地方政府和社会资本共同发起区域性绿色发展基金，支持地方绿色产业发展。支持社会资本和国际资本设立各类民间绿色投资基金。政府出资的绿色发展基金要在确保执行国家绿色发展战略及政策的前提下，按照市场化方式进行投资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（二十）地方政府可通过放宽市场准入、完善公共服务定价、实施特许经营模式、落实财税和土地政策等措施，完善收益和成本风险共担机制，支持绿色发展基金所投资的项目。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一）支持在绿色产业中引入PPP模式，鼓励将节能减排降碳、环保和其他绿色项目与各种相关高收益项目打捆，建立公共物品性质的绿色服务收费机制。推动完善绿色项目PPP相关法规规章，鼓励各地在总结现有PPP项目经验的基础上，出台更加具有操作性的实施细则。鼓励各类绿色发展基金支持以PPP模式操作的相关项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、发展绿色保险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二）在环境高风险领域建立环境污染强制责任保险制度。按程序推动制修订环境污染强制责任保险相关法律或行政法规，由环境保护部门会同保险监管机构发布实施性规章。选择环境风险较高、环境污染事件较为集中的领域，将相关企业纳入应当投保环境污染强制责任保险的范围。鼓励保险机构发挥在环境风险防范方面的积极作用，对企业开展“环保体检”，并将发现的环境风险隐患通报环境保护部门，为加强环境风险监督提供支持。完善环境损害鉴定评估程序和技术规范，指导保险公司加快定损和理赔进度，及时救济污染受害者、降低对环境的损害程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三）鼓励和支持保险机构创新绿色保险产品和服务。建立完善与气候变化相关的巨灾保险制度。鼓励保险机构研发环保技术装备保险、针对低碳环保类消费品的产品质量安全责任保险、船舶污染损害责任保险、森林保险和农牧业灾害保险等产品。积极推动保险机构参与养殖业环境污染风险管理，建立农业保险理赔与病死牲畜无害化处理联动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四）鼓励和支持保险机构参与环境风险治理体系建设。鼓励保险机构充分发挥防灾减灾功能，积极利用互联网等先进技术，研究建立面向环境污染责任保险投保主体的环境风险监控和预警机制，实时开展风险监测，定期开展风险评估，及时提示风险隐患，高效开展保险理赔。鼓励保险机构充分发挥风险管理专业优势，开展面向企业和社会公众的环境风险管理知识普及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 、完善环境权益交易市场、丰富融资工具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五）发展各类碳金融产品。促进建立全国统一的碳排放权交易市场和有国际影响力的碳定价中心。有序发展碳远期、碳掉期、碳期权、碳租赁、碳债券、碳资产证券化和碳基金等碳金融产品和衍生工具，探索研究碳排放权期货交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六）推动建立排污权、节能量（用能权）、水权等环境权益交易市场。在重点流域和大气污染防治重点领域，合理推进跨行政区域排污权交易，扩大排污权有偿使用和交易试点。加强排污权交易制度建设和政策创新，制定完善排污权核定和市场化价格形成机制，推动建立区域性及全国性排污权交易市场。建立和完善节能量（用能权）、水权交易市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七）发展基于碳排放权、排污权、节能量（用能权）等各类环境权益的融资工具，拓宽企业绿色融资渠道。在总结现有试点地区银行开展环境权益抵质押融资经验的基础上，确定抵质押物价值测算方法及抵质押率参考范围，完善市场化的环境权益定价机制，建立高效的抵质押登记及公示系统，探索环境权益回购等模式解决抵质押物处置问题，推动环境权益及其未来收益权切实成为合格抵质押物，进一步降低环境权益抵质押物业务办理的合规风险。发展环境权益回购、保理、托管等金融产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 、支持地方发展绿色金融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八）探索通过再贷款、宏观审慎评估框架、资本市场融资工具等支持地方发展绿色金融。鼓励和支持有条件的地方通过专业化绿色担保机制、设立绿色发展基金等手段撬动更多的社会资本投资于绿色产业。支持地方充分利用绿色债券市场为中长期、有稳定现金流的绿色项目提供融资。支持地方将环境效益显著的项目纳入绿色项目库，并在全国性的资产交易中心挂牌，为利用多种渠道融资提供条件。支持国际金融机构和外资机构与地方合作，开展绿色投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 、推动开展绿色金融国际合作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九）广泛开展绿色金融领域的国际合作。继续在二十国集团框架下推动全球形成共同发展绿色金融的理念，推广与绿色信贷和绿色投资相关的自愿准则和其他绿色金融领域的最佳经验，促进绿色金融领域的能力建设。通过“一带一路”战略，上海合作组织、中国-东盟等区域合作机制和南南合作，以及亚洲基础设施投资银行和金砖国家新开发银行撬动民间绿色投资的作用，推动区域性绿色金融国际合作，支持相关国家的绿色投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十）积极稳妥推动绿色证券市场双向开放。支持我国金融机构和企业到境外发行绿色债券。充分利用双边和多边合作机制，引导国际资金投资于我国的绿色债券、绿色股票和其他绿色金融资产。鼓励设立合资绿色发展基金。支持国际金融组织和跨国公司在境内发行绿色债券、开展绿色投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十一）推动提升对外投资绿色水平。鼓励和支持我国金融机构、非金融企业和我国参与的多边开发性机构在“一带一路”和其他对外投资项目中加强环境风险管理，提高环境信息披露水平，使用绿色债券等绿色融资工具筹集资金，开展绿色供应链管理，探索使用环境污染责任保险等工具进行环境风险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 、防范金融风险，强化组织落实</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十二）完善与绿色金融相关监管机制，有效防范金融风险。加强对绿色金融业务和产品的监管协调，综合运用宏观审慎与微观审慎监管工具，统一和完善有关监管规则和标准，强化对信息披露的要求，有效防范绿色信贷和绿色债券的违约风险，充分发挥股权融资作用，防止出现绿色项目杠杆率过高、资本空转和“洗绿”等问题，守住不发生系统性金融风险底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十三）相关部门要加强协作、形成合力，共同推动绿色金融发展。人民银行、财政部、发展改革委、环境保护部、银监会、证监会、保监会等部门应当密切关注绿色金融业务发展及相关风险，对激励和监管政策进行跟踪评估，适时调整完善。加强金融信息基础设施建设，推动信息和统计数据共享，建立健全相关分析预警机制，强化对绿色金融资金运用的监督和评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十四）各地区要从当地实际出发，以解决突出的生态环境问题为重点，积极探索和推动绿色金融发展。地方政府要做好绿色金融发展规划，明确分工，将推动绿色金融发展纳入年度工作责任目标。提升绿色金融业务能力，加大人才培养引进力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十五）加大对绿色金融的宣传力度。积极宣传绿色金融领域的优秀案例和业绩突出的金融机构和绿色企业，推动形成发展绿色金融的广泛共识。在全社会进一步普及环保意识，倡导绿色消费，形成共建生态文明、支持绿色金融发展的良好氛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中国人民银行财政部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发展改革委环境保护部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银监会证监会保监会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2016年8月31日</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p>
    <w:p>
      <w:pPr>
        <w:pStyle w:val="2"/>
        <w:numPr>
          <w:ilvl w:val="0"/>
          <w:numId w:val="0"/>
        </w:numPr>
        <w:ind w:left="922" w:leftChars="0" w:hanging="440" w:firstLineChars="0"/>
      </w:pPr>
      <w:bookmarkStart w:id="282" w:name="_Toc8561"/>
      <w:r>
        <w:rPr>
          <w:rFonts w:cs="宋体" w:asciiTheme="majorEastAsia" w:hAnsiTheme="majorEastAsia" w:eastAsiaTheme="majorEastAsia"/>
          <w:b/>
          <w:bCs/>
          <w:sz w:val="24"/>
          <w:szCs w:val="24"/>
          <w:lang w:val="en-US" w:eastAsia="zh-CN" w:bidi="ar-SA"/>
        </w:rPr>
        <w:t>83.</w:t>
      </w:r>
      <w:r>
        <w:rPr>
          <w:rFonts w:hint="eastAsia"/>
        </w:rPr>
        <w:t>《企业征信机构备案管理办法》</w:t>
      </w:r>
      <w:bookmarkEnd w:id="28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发文机构：中国人民银行</w:t>
      </w:r>
      <w:r>
        <w:rPr>
          <w:rFonts w:hint="eastAsia" w:cs="宋体" w:asciiTheme="majorEastAsia" w:hAnsiTheme="majorEastAsia" w:eastAsiaTheme="majorEastAsia"/>
        </w:rPr>
        <w:tab/>
      </w:r>
      <w:r>
        <w:rPr>
          <w:rFonts w:hint="eastAsia" w:cs="宋体" w:asciiTheme="majorEastAsia" w:hAnsiTheme="majorEastAsia" w:eastAsiaTheme="majorEastAsia"/>
        </w:rPr>
        <w:t>文号：银办发〔2016〕253号</w:t>
      </w:r>
    </w:p>
    <w:p>
      <w:pPr>
        <w:spacing w:after="156" w:afterLines="50" w:line="360" w:lineRule="auto"/>
        <w:ind w:firstLine="482" w:firstLineChars="200"/>
        <w:outlineLvl w:val="0"/>
        <w:rPr>
          <w:rFonts w:cs="宋体" w:asciiTheme="majorEastAsia" w:hAnsiTheme="majorEastAsia" w:eastAsiaTheme="majorEastAsia"/>
          <w:b/>
          <w:bCs/>
        </w:rPr>
      </w:pPr>
      <w:bookmarkStart w:id="283" w:name="_Toc30122"/>
      <w:r>
        <w:rPr>
          <w:rFonts w:hint="eastAsia" w:cs="宋体" w:asciiTheme="majorEastAsia" w:hAnsiTheme="majorEastAsia" w:eastAsiaTheme="majorEastAsia"/>
          <w:b/>
          <w:bCs/>
        </w:rPr>
        <w:t>第一章总则</w:t>
      </w:r>
      <w:bookmarkEnd w:id="28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规范企业征信机构备案管理，促进企业征信市场健康发展，根据《中华人民共和国中国人民银行法》、《征信业管理条例》、《征信机构管理办法》(中国人民银行令〔2013〕第1号发布)等法律法规规章，制定本办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本办法所称企业征信机构，是指符合《征信业管理条例》第五条规定，主要采集企业和事业单位等组织的信用信息，并进行整理、保存、加工和向信息使用者提供的机构。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人民银行制定企业征信机构备案管理规则，人民银行省会(首府)城市中心支行以上分支机构(以下统称人民银行省级分支行)具体负责辖区内企业征信机构备案工作。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人民银行省级分支行为企业征信机构办理备案，不视为对企业征信机构数据质量、业务水平、内控与风险管理能力、IT技术实力、业务合规等方面的认可或者保证。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企业征信机构不得利用人民银行备案进行夸大宣传、虚假宣传，也不得用其作为融资增信手段。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企业征信机构在注册地的人民银行省级分支行办理备案，并接受其监督管理。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企业征信机构在备案地以外区域开展企业征信业务，设立分支机构的，应当向分支机构所在地的人民银行省级分支行申请备案，其分支机构业务由所在地人民银行分支行负责管理；不设立分支机构的，其业务由备案地人民银行分支行负责管理。</w:t>
      </w:r>
    </w:p>
    <w:p>
      <w:pPr>
        <w:spacing w:after="156" w:afterLines="50" w:line="360" w:lineRule="auto"/>
        <w:ind w:firstLine="482" w:firstLineChars="200"/>
        <w:outlineLvl w:val="0"/>
        <w:rPr>
          <w:rFonts w:cs="宋体" w:asciiTheme="majorEastAsia" w:hAnsiTheme="majorEastAsia" w:eastAsiaTheme="majorEastAsia"/>
          <w:b/>
          <w:bCs/>
        </w:rPr>
      </w:pPr>
      <w:bookmarkStart w:id="284" w:name="_Toc18162"/>
      <w:r>
        <w:rPr>
          <w:rFonts w:hint="eastAsia" w:cs="宋体" w:asciiTheme="majorEastAsia" w:hAnsiTheme="majorEastAsia" w:eastAsiaTheme="majorEastAsia"/>
          <w:b/>
          <w:bCs/>
        </w:rPr>
        <w:t>第二章备案的受理</w:t>
      </w:r>
      <w:bookmarkEnd w:id="28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设立企业征信机构应当符合《中华人民共和国公司法》规定的公司设立条件，自公司登记机关准予登记之日起30日内向注册地的人民银行省级分支行办理备案。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人民银行省级分支行收到机构备案申请后，应当对其业务性质、信息内容进行判断，依法应当认定为企业征信机构的，对其备案申请予以受理；依法不应当认定为企业征信机构的，对其备案申请不予受理。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企业征信机构申请备案的，应当按照《征信机构管理办法》第十九条、《征信机构监管指引》(银发〔2015〕336号文印发)第七条的规定提交申请材料。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企业征信机构提交的备案材料不齐全或者不符合要求的，人民银行省级分支行应当告知企业征信机构在30日内补充材料；逾期未补充的，不予受理备案申请。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人民银行省级分支行对企业征信机构提交的备案材料审查确认无误的，应当受理备案申请。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人民银行省级分支行受理企业征信机构的备案申请后，应当对其高级管理人员掌握征信法规的情况进行评估，指导企业征信机构高级管理人员熟悉征信相关法规。</w:t>
      </w:r>
    </w:p>
    <w:p>
      <w:pPr>
        <w:spacing w:after="156" w:afterLines="50" w:line="360" w:lineRule="auto"/>
        <w:ind w:firstLine="482" w:firstLineChars="200"/>
        <w:outlineLvl w:val="0"/>
        <w:rPr>
          <w:rFonts w:cs="宋体" w:asciiTheme="majorEastAsia" w:hAnsiTheme="majorEastAsia" w:eastAsiaTheme="majorEastAsia"/>
          <w:b/>
          <w:bCs/>
        </w:rPr>
      </w:pPr>
      <w:bookmarkStart w:id="285" w:name="_Toc30702"/>
      <w:r>
        <w:rPr>
          <w:rFonts w:hint="eastAsia" w:cs="宋体" w:asciiTheme="majorEastAsia" w:hAnsiTheme="majorEastAsia" w:eastAsiaTheme="majorEastAsia"/>
          <w:b/>
          <w:bCs/>
        </w:rPr>
        <w:t>第三章备案的审核</w:t>
      </w:r>
      <w:bookmarkEnd w:id="28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人民银行省级分支行应当对申请备案机构提交的备案材料进行真实性审核，审核时可以采用实地考察、函询有关政府部门等方式。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人民银行省级分支行受理企业征信机构备案申请的，应当在本单位网站对备案机构的名称、营业场所、业务范围、注册资本、主要股东及其出资额、高管人员、信用信息系统安全等级等情况进行公示。公示期限不得少于三个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企业征信机构提交的备案材料真实、准确、完整，且业务具有可行性、公示期间无异议的，人民银行省级分支行应当办理备案。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公示期间存在异议的，人民银行省级分支行应当对异议情况进行核查。核查后认为异议不成立的，应当办理备案；异议成立的，应当拒绝办理备案。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人民银行省级分支行完成企业征信机构备案后，应当在5个工作日内将备案情况报人民银行总行。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人民银行及其省级分支行通过各自网站同步公告备案企业征信机构情况，并实施在线名单管理。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公告内容包括企业征信机构的名称、营业场所、业务范围、注册资本、主要股东及其出资额、高管人员、信用信息系统安全等级。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企业征信机构备案事项发生变更的，应当在变更之日起30日内向原备案机构办理变更备案。控股股东或者实际控制人发生变更的，应当按新设机构的备案标准进行备案审核。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企业征信机构设立分支机构的，应当报告注册地人民银行省级分支行，并向分支机构所在地的人民银行省级分支行提交以下材料：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(一)企业征信机构分支机构备案表；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(二)营业执照复印件；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(三)经营场所证明文件；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(四)组织机构及高管人员构成情况说明；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(五)分支机构内控制度、业务规则。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企业征信机构有下列情形之一的，人民银行省级分支行不得为其办理备案：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(一)提供虚假备案申请材料的；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(二)被列入“信用中国”网站黑名单的。</w:t>
      </w:r>
    </w:p>
    <w:p>
      <w:pPr>
        <w:spacing w:after="156" w:afterLines="50" w:line="360" w:lineRule="auto"/>
        <w:ind w:firstLine="482" w:firstLineChars="200"/>
        <w:outlineLvl w:val="0"/>
        <w:rPr>
          <w:rFonts w:cs="宋体" w:asciiTheme="majorEastAsia" w:hAnsiTheme="majorEastAsia" w:eastAsiaTheme="majorEastAsia"/>
          <w:b/>
          <w:bCs/>
        </w:rPr>
      </w:pPr>
      <w:bookmarkStart w:id="286" w:name="_Toc2671"/>
      <w:r>
        <w:rPr>
          <w:rFonts w:hint="eastAsia" w:cs="宋体" w:asciiTheme="majorEastAsia" w:hAnsiTheme="majorEastAsia" w:eastAsiaTheme="majorEastAsia"/>
          <w:b/>
          <w:bCs/>
        </w:rPr>
        <w:t>第四章备案的管理</w:t>
      </w:r>
      <w:bookmarkEnd w:id="28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企业征信机构备案后，应当按照规定接入人民银行征信管理系统。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人民银行省级分支行办理企业征信机构备案后，应当在征信管理系统中及时、准确、完整地填报企业征信机构相关信息。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人民银行及省级分支行对企业征信机构备案实行动态管理。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人民银行省级分支行在日常监管或者开展现场检查中发现备案企业征信机构存在下列情形之一的，可以注销其备案：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(一)《征信机构监管指引》第十条规定的情形；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(二)企业征信机构备案后连续六个月未实质开展相关业务；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(三)被工商管理部门注销或者吊销营业执照。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人民银行省级分支行应当每两年对企业征信机构的备案情况审核一次，审核中发现企业征信机构存在上述情形之一的，可以注销其备案。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 人民银行省级分支行注销企业征信机构备案的，应当在注销之日起5个工作日内将注销情况报人民银行总行，并将被注销的企业征信机构同步清退出备案名单。</w:t>
      </w:r>
    </w:p>
    <w:p>
      <w:pPr>
        <w:spacing w:after="156" w:afterLines="50" w:line="360" w:lineRule="auto"/>
        <w:ind w:firstLine="482" w:firstLineChars="200"/>
        <w:outlineLvl w:val="0"/>
        <w:rPr>
          <w:rFonts w:cs="宋体" w:asciiTheme="majorEastAsia" w:hAnsiTheme="majorEastAsia" w:eastAsiaTheme="majorEastAsia"/>
          <w:b/>
          <w:bCs/>
        </w:rPr>
      </w:pPr>
      <w:bookmarkStart w:id="287" w:name="_Toc26305"/>
      <w:r>
        <w:rPr>
          <w:rFonts w:hint="eastAsia" w:cs="宋体" w:asciiTheme="majorEastAsia" w:hAnsiTheme="majorEastAsia" w:eastAsiaTheme="majorEastAsia"/>
          <w:b/>
          <w:bCs/>
        </w:rPr>
        <w:t>第五章附则</w:t>
      </w:r>
      <w:bookmarkEnd w:id="28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 任何组织不得采用加盟、代理、挂靠等方式从事企业征信业务。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本办法实施前，存在加盟、代理、挂靠方式的企业征信机构，应当在本办法自实施之日起六个月内进行整改；逾期未完成整改的，注销其备案。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 本办法实施后，由人民银行及其省级分支行同步对外公布备案征信机构名单。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人民银行省级分支行不再颁发纸质《企业征信机构备案证》，此前发放的纸质《企业征信机构备案证》自前款规定的企业征信机构名单公布之日起作废。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 外商投资企业征信机构申请备案的，依照人民银行、商务部关于设立外商投资征信机构的公告和本办法办理。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外商投资机构境内再投资设立企业征信机构申请备案的，人民银行省级分支行可以通过函询当地商务部门的方式确定企业征信机构的外商投资性质。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 自本办法实施之日起，人民银行省级分支行应当在六个月内对已备案的企业征信机构完成清理。对于不符合本办法规定的企业征信机构，要求其限期整改，逾期未完成整改的，或者依法不应当认定为企业征信机构的，注销其备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 本办法自印发之日起实施，此前规定与本办法不一致的，以本办法为准。</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p>
    <w:p>
      <w:pPr>
        <w:pStyle w:val="2"/>
        <w:numPr>
          <w:ilvl w:val="0"/>
          <w:numId w:val="0"/>
        </w:numPr>
        <w:ind w:left="922" w:leftChars="0" w:hanging="440" w:firstLineChars="0"/>
      </w:pPr>
      <w:bookmarkStart w:id="288" w:name="_Toc18873"/>
      <w:r>
        <w:rPr>
          <w:rFonts w:cs="宋体" w:asciiTheme="majorEastAsia" w:hAnsiTheme="majorEastAsia" w:eastAsiaTheme="majorEastAsia"/>
          <w:b/>
          <w:bCs/>
          <w:sz w:val="24"/>
          <w:szCs w:val="24"/>
          <w:lang w:val="en-US" w:eastAsia="zh-CN" w:bidi="ar-SA"/>
        </w:rPr>
        <w:t>84.</w:t>
      </w:r>
      <w:r>
        <w:rPr>
          <w:rFonts w:hint="eastAsia"/>
        </w:rPr>
        <w:t>《中国人民银行关于加强征信合规管理工作的通知》</w:t>
      </w:r>
      <w:bookmarkEnd w:id="288"/>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发文机构：中国人民银行</w:t>
      </w:r>
      <w:r>
        <w:rPr>
          <w:rFonts w:hint="eastAsia" w:cs="宋体" w:asciiTheme="majorEastAsia" w:hAnsiTheme="majorEastAsia" w:eastAsiaTheme="majorEastAsia"/>
        </w:rPr>
        <w:tab/>
      </w:r>
      <w:r>
        <w:rPr>
          <w:rFonts w:hint="eastAsia" w:cs="宋体" w:asciiTheme="majorEastAsia" w:hAnsiTheme="majorEastAsia" w:eastAsiaTheme="majorEastAsia"/>
        </w:rPr>
        <w:t>文号：银发〔2016〕300号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中国人民银行上海总部，各分行、营业管理部，各省会(首府)城市中心支行，各副省级城市中心支行，国家开发银行，各政策性银行、国有商业银行、股份制商业银行，中国邮政储蓄银行：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近期，公安机关在破获的非法买卖个人征信信息案件中，发现个别商业银行员工(含劳务派遣员工)利用职务便利，违规查询、下载和非法出售金融信用信息基础数据库个人征信信息。案件充分暴露出相关银行对征信合规工作重视不够、内控制度不完善、人员管理不到位、系统建设存在漏洞等问题。同时，部分备案的企业征信机构和信用评级机构违规经营问题突出，严重干扰企业融资的公平环境。为加大个人征信信息保护力度，改善社会融资环境，亟需进一步加强征信合规管理工作。现就有关事项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、全面开展征信合规自查自纠工作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针对近期案件暴露出来的征信合规性风险，金融信用信息基础数据库接入机构(以下简称接入机构，含银行业金融机构、小额贷款公司、融资性担保公司等机构)、人民银行分支机构查询点要对本单位的征信合规情况进行一次全面的自查自纠。重点对用户设置、登录账户和密码管理、查询权限、异常查询监测、接口查询系统功能等方面进行自查自纠。对存在与业务量差异较大、异地查询客户占比过高、单日查询量过大等情况的用户，要逐一核实，一经发现存在非法查询、下载、出售个人征信信息的，要立即停止该账户查询权限，追究相关人员的责任，并向所在地人民银行分支机构报告。涉嫌犯罪的，依法移交公安机关处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已备案的企业征信机构和信用评级机构(以下简称备案机构)，应根据人民银行发布的《企业征信机构备案管理办法》(银发〔2016〕253号文印发)等制度，开展备案材料真实性和业务活动真实性的自查自纠工作。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自查自纠报告应于2016年12月28日前上报，其中全国性接入机构(国家开发银行、各政策性银行、国有商业银行、股份制商业银行、中国邮政储蓄银行)报人民银行征信管理局；人民银行查询点的自查自纠报告由人民银行省会(首府)城市中心支行以上分支机构和深圳市中心支行(以下统称人民银行省级分支机构)汇总后报征信管理局；地方性接入机构(包括地方性银行法人、农村信用社、小额贷款公司、融资性担保公司等机构)报当地人民银行分支机构，备案机构报受理本机构备案的人民银行分支机构，由人民银行省级分支机构汇总后报征信管理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、对自查工作进行抽查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对接入机构和备案机构的自查自纠工作，人民银行将于2017年上半年组织抽查。其中对全国性接入机构的抽查，由人民银行总行组织进行；对地方性接入机构和备案机构的抽查，由人民银行省级分支机构组织进行；对人民银行分支机构查询点的自查自纠情况，由所在辖区的人民银行省级分支机构进行抽查。对近期发生信息泄露、倒卖信息等违规情况的机构要纳入重点抽查范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对抽查发现的接入机构存在自查工作不全面、存在安全隐患、违规问题没有及时整改、隐瞒不报违法违规情况的，人民银行将依法依规予以严肃查处。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对备案机构自查自纠工作不到位的，将依照《企业征信机构备案管理办法》等制度予以严肃查处。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、加强征信合规管理，保障征信信息安全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接入机构、人民银行分支机构查询点和备案机构应完善事前、事中、事后管理措施，提高技防和人防能力，从制度规定、技术手段、安全设施等多方面、多角度采取措施，规范业务行为，保障征信信息安全。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(一)切实提高征信合规认识。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接入机构、人民银行分支机构查询点、备案机构的征信工作各级负责人和征信从业人员要充分认识征信合规运作的严肃性、重要性、紧迫性，增强合规意识，积极采取措施，确保依法合规开展征信业务。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(二)建立健全内控制度。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一是依据征信相关法律、法规和规范性文件，建立健全征信合规管理制度和操作规程。严格用户管理，杜绝建立、使用公共或者类公共账户查询征信信息，杜绝非正式员工作为查询用户。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二是建立风险监测和报告制度，及时监测和报告运行中出现的违规问题，定期对征信合规工作进行审计。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(三)建立责任追究制度。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应严格建立责任追究制度。对于严重违反《征信业管理条例》、《征信机构管理办法》(中国人民银行令〔2013〕第1号发布)等法律法规的，明确领导责任和直接责任人员应当承担的责任，依法依规从严追究。涉嫌犯罪的，移交司法机关从严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上述(二)、(三)项所述及的征信合规管理制度、风险监测和报告制度、责任追究制度，应向人民银行报备。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(四)建立健全自查自纠制度。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自2017年起，接入机构、人民银行分支机构查询点、备案机构每年要对本单位的征信合规情况，开展一次全面的自查自纠，自查自纠报告应于每年12月28日前报人民银行或其分支机构，报送程序和要求同上。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(五)完善操作系统功能，防范个人征信信息泄露。</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一是接入机构、人民银行查询点要根据本单位的实际情况，推广建立查询前置系统，对查询用户进行统一管理。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二是完善系统登录方式，采取动态密码、密码和登录用户相分离等措施，建立用户和IP地址的关联。</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三是对用户进行异常监测，合理设定监测阈值，出现问题及时阻断查询。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四是进一步优化操作系统功能，提高机器读取个人征信信息方式的应用范围，减少人工查阅方式。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五是改进系统安全设置，确保个人征信查询、下载、转移限制在本机构内部网络上，杜绝在具有与外部网络相连接的机器上设置查询功能。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、加强征信合规教育</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人民银行将根据接入机构和征信机构(含信用评级机构)的需求，推行全国征信从业人员合规教育制度。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接入机构、人民银行分支机构查询点、征信机构(含信用评级机构)应当建立征信从业人员的合规教育制度，通过内部培训、上岗前考试、集中宣传教育等方式，定期对征信工作负责人、征信从业人员进行合规教育，强化合规意识、信息安全防范意识和业务能力，确保征信负责人及一线操作人员熟悉征信基本知识、相关法律法规规定，掌握履行岗位职责所需的专业技能，遵循合规性操作要求。人民银行将把合规教育情况纳入对接入机构、征信机构(含信用评级机构)征信业务监管和考核的范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人民银行委托中国金融培训中心，搭建全国征信从业人员合规教育平台，开展以“接入机构、征信机构(含信用评级机构)、人民银行分支机构”征信工作负责人、征信从业人员为对象的合规教育。</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请人民银行副省级城市中心支行以上分支机构将本通知转发辖区内金融信用信息基础数据库接入机构、备案企业征信机构和信用评级机构。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企业征信机构合规工作联系人：常可，010-66199537，邮箱：changke@pbc．gov．cn；</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信用评级机构合规工作联系人：王晓晴，010-66194235，邮箱：wxiaoqing@pbc．gov．cn；</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接入机构合规工作联系人：谢业华，010-66199538，邮箱：xyehua@pbc．gov．cn。</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中国人民银行</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2016年11月24日</w:t>
      </w:r>
    </w:p>
    <w:p>
      <w:pPr>
        <w:pStyle w:val="2"/>
        <w:numPr>
          <w:ilvl w:val="0"/>
          <w:numId w:val="0"/>
        </w:numPr>
        <w:ind w:left="922" w:leftChars="0" w:hanging="440" w:firstLineChars="0"/>
      </w:pPr>
      <w:bookmarkStart w:id="289" w:name="_Toc24248"/>
      <w:r>
        <w:rPr>
          <w:rFonts w:cs="宋体" w:asciiTheme="majorEastAsia" w:hAnsiTheme="majorEastAsia" w:eastAsiaTheme="majorEastAsia"/>
          <w:b/>
          <w:bCs/>
          <w:sz w:val="24"/>
          <w:szCs w:val="24"/>
          <w:lang w:val="en-US" w:eastAsia="zh-CN" w:bidi="ar-SA"/>
        </w:rPr>
        <w:t>85.</w:t>
      </w:r>
      <w:r>
        <w:rPr>
          <w:rFonts w:hint="eastAsia"/>
        </w:rPr>
        <w:t>《中国银监会办公厅关于稳步开展企业集团财务公司延伸产业链金融服务试点工作有关事项的通知》</w:t>
      </w:r>
      <w:bookmarkEnd w:id="289"/>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文号：银监办发〔2016〕167号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为落实国家对中小微企业的扶持政策，扩大企业集团资金池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运营渠道，促进企业集团财务公司（以下简称财务公司）在支持集团主业发展、有效服务实体经济方面发挥更大作用，决定在前期试点的基础上，进一步在全国范围内开展财务公司延伸产业链金融服务试点工作。现就有关事项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、试点原则和内容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开展财务公司延伸产业链金融服务试点，应坚持以“服务核心成员单位，面向直接交易对手，促进企业集团主业发展”为原则。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财务公司延伸产业链金融服务试点业务包括：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（一）“一头在外”的票据贴现业务；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（二）“一头在外”的应收账款保理业务。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头在外”是指产业链交易双方中一方为集团成员单位，另一方为成员单位的集团外直接交易对手（出票人为集团成员单位且承兑人为集团成员单位或财务公司的“一头在外”的票据贴现业务，不受直接交易对手限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、风险管理要求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开展财务公司延伸产业链金融服务试点应做到依法合规，有效管控相关业务风险：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财务公司开展延伸产业链金融服务试点应面向集团成员单位的直接交易对手（出票人为集团成员单位且承兑人为集团成员单位或财务公司的“一头在外”的票据贴现业务，不受直接交易对手限制），且集团外非成员单位客户应具有良好的社会声誉和信用记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财务公司应按照《商业银行保理业务管理暂行办法》（中国银监会令〔2014〕5号）和《关于加强票据业务监管促进票据市场健康发展的通知》（银发〔2016〕126号）有关要求，严格审查基础交易的真实性，加强对延伸产业链金融服务试点的风险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（三）财务公司应符合《企业集团财务公司监管评级与分类监管办法》（银监办发〔2015〕199号）相关规定，开展延伸产业链金融服务试点；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财务公司开展延伸产业链金融服务试点，应明确相关业务制度、产品说明、审批流程、信息化管理和风险控制手段，配备足够的熟悉产业链融资业务的专职人员，并按监管要求定期报告业务开展情况和风险管理状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财务公司应对延伸产业链金融服务试点非集团成员单位客户建立合理的内部准入标准和评定体系，实施名单制管理，每年4月30日前向所在地监管机构报告上一年度延伸产业链金融服务试点的非集团成员单位客户及相应的集团成员单位名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财务公司对延伸产业链金融服务试点的非集团成员单位客户融资应纳入对相关集团成员单位的综合授信（出票人为集团成员单位且承兑人为财务公司的“一头在外”的票据贴现业务除外），并对相应信贷资产进行准确分类，足额提取拨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（七）延伸产业链金融服务试点非集团成员单位客户可在财务公司开立结算账户用于发放、归还贷款和存入保证金，但账户余额不得超出财务公司对其实际融资额及相应收益之和。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、监管措施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（一）备案管理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财务公司开展延伸产业链金融服务试点应向所在地银监局备案，备案完成后由银监局报送银监会。备案材料包括但不限于：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1.财务公司经营情况、监管评级及各项监管指标情况；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2.财务公司开展延伸产业链金融服务试点的可行性研究报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告，包括集团供应链管理情况、信息化管理状况、财务公司开展延伸产业链金融服务试点的必要性和可行性分析、财务公司开展延伸产业链金融服务试点的计划方案等内容；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3.财务公司股东会或董事会同意开展延伸产业链金融服务试点的决议文件，董事会批准同意的包括行业准入、客户准入、规模控制、限额管理、客户集中度管理等在内的风险控制政策；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4.财务公司开展延伸产业链金融服务试点的业务制度、审批流程、风控机制；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5.企业集团近两年的审计报告。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（二）持续监测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监管机构负责辖内财务公司开展延伸产业链金融服务试点的日常监管工作，应严格把关，持续跟踪监测，及时总结经验教训，做好试点后评估工作。对于未能有效执行延伸产业链金融服务试点风险管理要求和内部控制制度的财务公司，监管机构应及时采取相应监管措施，必要时可暂停其开展延伸产业链金融服务试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各银监局应将辖内财务公司上一年度开展延伸产业链金融服务试点工作情况于每年3月底前报送银监会。</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2016年11月30日</w:t>
      </w:r>
    </w:p>
    <w:p>
      <w:pPr>
        <w:pStyle w:val="2"/>
        <w:numPr>
          <w:ilvl w:val="0"/>
          <w:numId w:val="0"/>
        </w:numPr>
        <w:ind w:left="922" w:leftChars="0" w:hanging="440" w:firstLineChars="0"/>
      </w:pPr>
      <w:bookmarkStart w:id="290" w:name="_Toc13558"/>
      <w:r>
        <w:rPr>
          <w:rFonts w:cs="宋体" w:asciiTheme="majorEastAsia" w:hAnsiTheme="majorEastAsia" w:eastAsiaTheme="majorEastAsia"/>
          <w:b/>
          <w:bCs/>
          <w:sz w:val="24"/>
          <w:szCs w:val="24"/>
          <w:lang w:val="en-US" w:eastAsia="zh-CN" w:bidi="ar-SA"/>
        </w:rPr>
        <w:t>86.</w:t>
      </w:r>
      <w:r>
        <w:rPr>
          <w:rFonts w:hint="eastAsia"/>
        </w:rPr>
        <w:t>《中国银监会、发展改革委、工业和信息化部关于钢铁煤炭行业化解过剩产能金融债权债务问题的若干意见》</w:t>
      </w:r>
      <w:bookmarkEnd w:id="290"/>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发文机构：中国银行业监督管理委员会(已撤销)、国家发展和改革委员会(含原国家发展计划委员会、原国家计划委员会)、工业和信息化部</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文号：银监发〔2016〕51号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各银监局，各省（区、市）发展改革部门、工业和信息化部门，各政策性银行、大型银行、股份制银行，邮储银行，外资银行，金融资产管理公司，其他会管金融机构：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贯彻《国务院关于钢铁行业化解过剩产能实现脱困发展的意见》（国发〔2016〕6号）、《国务院关于煤炭行业化解过剩产能实现脱困发展的意见》（国发〔2016〕7号）精神，妥善处置化解过剩产能过程中的有关金融债权债务，根据《中华人民共和国银行业监督管理法》、《中华人民共和国商业银行法》等法律法规，现就钢铁煤炭行业化解过剩产能涉及金融债权债务问题提出以下意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支持钢铁煤炭企业合理资金需求。银行业金融机构要提高对钢铁煤炭行业在国民经济中支柱性、战略性地位的认识，认真贯彻落实区别对待、有扶有控的信贷政策。对技术设备先进、产品有竞争力、有市场的钢铁煤炭企业，银行业金融机构应当按照风险可控、商业可持续原则，继续给予信贷支持，不得抽贷、压贷、断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加大对兼并重组钢铁煤炭企业的金融支持力度。鼓励符合条件的钢铁煤炭企业开展并购重组。支持银行业金融机构按照依法合规、自主决策、风险可控、商业可持续原则，对能产生整合效应的钢铁煤炭兼并重组项目采取银团贷款等方式，积极稳妥开展并购贷款业务。对符合并购贷款条件的兼并重组企业，并购交易价款中并购贷款所占比例上限可提高至70%。</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鼓励银行业金融机构对主动去产能的钢铁煤炭困难企业进行贷款重组。对符合国家产业政策、主动去产能、具有持续经营能力、还款能力与还款意愿强、贷款到期后仍有融资需求、但暂时存在资金困难的钢铁煤炭企业，银行业金融机构在风险可控、商业可持续原则前提下，可以进行贷款重组,调整贷款结构，合理确定贷款期限,按照国家有关规定减免利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、严控违规新增钢铁煤炭产能的信贷投放。对违规新增钢铁煤炭产能项目，银行业金融机构一律不得提供信贷支持；对违规新增产能的企业，停止贷款。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坚决停止对落后产能和“僵尸企业”的金融支持。对不符合国家产业政策规定的落后产能企业，或环保、能耗、质量、安全生产、技术等不达标且整改无望的企业，或已停产半停产、连年亏损、资不抵债、失去清偿能力的“僵尸企业”，以及有恶意逃废债行为的企业，银行业金融机构要坚决压缩、退出相关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 、推动组建债权人委员会，对困难钢铁煤炭企业实施债务重组。对符合国家产业政策，主动去产能、调结构、转型发展，产品或服务有市场，发展有前景的钢铁煤炭企业，银行业金融机构应当组建债权人委员会，按照市场化、法治化原则，通过调整贷款期限、利率、还款方式等措施，实施金融债务重组。银行业金融机构组建债权人委员会，应当按照银监会关于做好银行业金融机构债权人委员会有关工作的通知精神，开展自主重组、协议重组和协议并司法重组，支持暂时困难的钢铁煤炭企业发展。债券投资人可以加入债权人委员会，共同解决企业债务问题。切实做到稳定预期、稳定信贷、稳定支持，帮助企业渡过难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协调地方人民政府及相关部门采取有力措施，支持债权人委员会相关工作，共同解决企业债务重组等重大问题。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 、支持金融资产管理公司、地方资产管理公司等多类型实施机构对钢铁煤炭企业开展市场化债转股。对资产负债率较高、在国民经济中占重要地位、具备发展潜力的钢铁煤炭骨干企业，支持金融资产管理公司、地方资产管理公司、银行现有符合条件的所属机构或设立的符合规定的新机构等多种类型实施机构按照国家法律法规和国家有关规定，按照市场化、法治化的原则，开展债转股工作，依法行使股东权利，改进公司治理结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 、支持产业基金和股权投资基金投资钢铁煤炭骨干企业。引导社会资本参与钢铁煤炭企业的脱困发展，支持产业基金和股权投资基金特别是地方政府成立的产业基金和股权投资基金，投资入股产品有市场、发展有前景、但资产负债率较高的钢铁煤炭骨干企业，依法行使股东权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 、妥善处置钢铁煤炭企业集团的担保问题。对钢铁煤炭企业集团主动去产能、依法关闭破产子公司，履行担保责任确有困难的，由钢铁煤炭企业集团与银行业金融机构按照市场化、法治化、互惠互利的原则进行协商处理，妥善处置担保问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 、妥善处置涉及钢铁煤炭企业的不良资产。要按照市场化、法治化、互惠互利的原则，充分发挥金融资产管理公司和地方资产管理公司批量处置不良资产和综合性金融服务功能的积极作用。银行业金融机构要加大涉及钢铁煤炭企业不良资产的转让力度，鼓励银行业金融机构与资产管理公司创新合作处置模式，发挥好双方优势，通过合作处置，提升价值，实现银行业金融机构、资产管理公司与钢铁煤炭企业的共赢，维护经济金融秩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 、依法维护涉及破产清算钢铁煤炭企业的金融债权。对严重资不抵债、不能清偿到期债务的“僵尸企业”，或不达标产能、落后产能、整体退出产能的企业，要依照《中华人民共和国企业破产法》等法律法规，建立债权人委员会，通过债务和解、破产重整、破产清算等方式，妥善处理企业债务，积极维护金融债权安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 、依法打击逃废金融债务行为。钢铁煤炭去产能过程中，一些地区和企业借转型、转产之机悬空金融债务，或通过转移、出售企业有效资产逃废金融债务，或不尊重金融债权人的合法权益，组织破产逃废金融债务。各级银行业监督管理机构要组织银行业协会、银行业金融机构加强金融债权管理，及时制止逃废金融债务行为，并向地方政府报告；对于拒不纠正的企业，组织实施停止贷款、停止结算等制裁措施，纳入全国信用信息共享平台，通过失信惩戒机制实施联合惩戒，切实遏制逃废金融债务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十三 、加强主管部门、行业协会和企业与银行业金融机构的信息沟通。银行业金融机构在落实政策过程中，应加强与发展改革部门、工业和信息化部门等主管部门、行业协会和钢铁煤炭企业的沟通与交流，解决银政、银企信息不对称问题。各银监局应加强对银行业金融机构的指导和监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各级发展改革部门、工业和信息化部门等应及时公布行业发展情况、产业规划调整方案、“僵尸企业”、涉及淘汰落后和过剩产能企业和项目名单，帮助银行业金融机构落实好“有保有控”的差别化信贷政策。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各银监局、各省（区、市）发展改革部门、工业和信息化部门以及银行业金融机构在贯彻落实本意见过程中遇有问题应及时报告。银监会、发展改革委、工业和信息化部将适时组织对本意见执行情况的检查监督。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中国银监会发展改革委工业和信息化部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2016年12月1日</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p>
    <w:p>
      <w:pPr>
        <w:pStyle w:val="2"/>
        <w:numPr>
          <w:ilvl w:val="0"/>
          <w:numId w:val="0"/>
        </w:numPr>
        <w:ind w:left="922" w:leftChars="0" w:hanging="440" w:firstLineChars="0"/>
      </w:pPr>
      <w:bookmarkStart w:id="291" w:name="_Toc17852"/>
      <w:r>
        <w:rPr>
          <w:rFonts w:cs="宋体" w:asciiTheme="majorEastAsia" w:hAnsiTheme="majorEastAsia" w:eastAsiaTheme="majorEastAsia"/>
          <w:b/>
          <w:bCs/>
          <w:sz w:val="24"/>
          <w:szCs w:val="24"/>
          <w:lang w:val="en-US" w:eastAsia="zh-CN" w:bidi="ar-SA"/>
        </w:rPr>
        <w:t>87.</w:t>
      </w:r>
      <w:r>
        <w:rPr>
          <w:rFonts w:hint="eastAsia"/>
        </w:rPr>
        <w:t>《中国银监会关于进一步加强商业银行小微企业授信尽职免责工作的通知》</w:t>
      </w:r>
      <w:bookmarkEnd w:id="291"/>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文号：银监发〔2016〕56号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各银监局，各政策性银行、大型银行、股份制银行，邮储银行，外资银行：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贯彻落实党中央、国务院关于金融支持小微企业发展的决策部署，进一步完善商业银行小微企业授信业务管理机制，推动小微企业金融服务持续健康发展，现就加强商业银行小微企业授信尽职免责工作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、总体要求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小微企业授信尽职免责工作（以下简称小微尽职免责），是指商业银行在小微企业授信业务出现风险后，经过有关工作流程，有充分证据表明授信部门及工作人员按照有关法律法规、规章和规范性文件以及银行内部管理制度勤勉尽职地履行了职责的，应免除其全部或部分责任，包括内部考核扣减分、行政处分、经济处罚等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（一）适用对象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小微尽职免责适用于商业银行小微企业授信业务营销、受理、审查审批、作业监督、放款操作、贷款后管理等环节中承担管理职责和直接办理业务的工作人员，包括但不限于分管小微企业授信业务的机构负责人、管理部门及经办分支机构负责人、小微企业授信业务管理人员、小微企业授信业务经办人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（二）制度建设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要按照加强风险管理和服务实体经济并重的指导思想，根据有关法律法规和小微企业支持服务政策，明确尽职免责标准、完善工作办法和流程，厘清内部责任部门和岗位职责，建立健全相关决策、监督机制和管理信息系统。在落实小微尽职免责制度的同时，要强化风险管理能力建设，防范片面追求程序及形式合规、不计工作实质和可预见结果的道德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应结合授信业务风险溢价状况，配套设定合理的小微企业不良容忍度。在落实现有不良容忍度监管政策的基础上，商业银行可根据自身风险偏好、风险管理水平和各地经济金融环境，对不同地区的分支机构设置差异化的小微企业不良容忍度目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、厘清尽职认定标准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（三）直接责任认定标准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小微企业授信业务经办人员和参与具体业务流程的管理人员，应当以《商业银行授信工作尽职指引》（银监发〔2004〕51号）和《商业银行小企业授信工作尽职指引》（银监发〔2006〕69号），以及商业银行相关业务标准、作业流程作为尽职免责的主要标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（四）间接责任认定标准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商业银行负责小微企业授信业务的管理部门和经办机构负责人及管理人员，若未参与具体业务流程的，原则上只承担所在部门或机构小微企业授信业务领导或管理责任。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、明确免责情形与问责要求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（五）负责人免责情形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小微企业授信业务风险状况未超过本行所设定不良容忍度目标的，在不违反有关法律法规、规章和规范性文件规定的前提下，原则上对相关小微企业授信业务管理部门或经办机构负责人不追究领导或管理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（六）经办人员及参与具体业务流程管理人员免责情形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符合下列情形之一的，商业银行在责任认定中可对小微企业授信业务工作人员免除全部或部分责任：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1.无确切证据证明工作人员未按照标准化操作流程完成相关操作或未勤勉尽职的;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2.自然灾害等不可抗力因素直接导致不良资产形成，且相关工作人员在风险发生后及时揭示风险并第一时间采取措施的;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3.信贷资产本金已还清、仅因少量欠息形成不良的，如相关工作人员无舞弊欺诈、违规违纪行为，并已按商业银行有关管理制度积极采取追索措施的;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因工作调整等移交的小微企业存量授信业务，移交前已暴露风险的，后续接管的工作人员在风险化解及业务管理过程中无违规失职行为；移交前未暴露风险的，后续接管的工作人员及时发现风险并采取措施减少了损失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5.参与集体决策的工作人员明确提出不同意见（有合法依据），经事实证明该意见正确，且该项决策与授信业务风险存在直接关系的；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6.在档案或流程中有书面记录、或有其他可采信的证据表明工作人员对不符合当时有关法律法规、规章、规范性文件和商业银行管理制度的业务曾明确提出反对意见，或对小微企业信贷资产风险有明确警示意见，但经上级决策后业务仍予办理且形成不良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7.有关法律法规、规章、规范性文件规定的其他从轻处理情形。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（七）不得免责情形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小微企业授信业务工作人员存在以下失职或违规情节的，不得免责：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1.借用小微企业业务流程、产品为大中型企业办理授信业务、出现风险的（存量小微企业自然成长为大中型企业的除外）；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2.有证据证明管理人员或经办人员弄虚作假、与企业内外勾结、故意隐瞒真实情况骗取授信的；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3.在授信业务中存在重大失误，未及时发现借款人经营、管理、财务、资金流向等各种影响还款能力的风险因素的；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4.在授信过程中向企业索取或接受企业经济利益的；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5.其他违反有关法律法规、规章和规范性文件规定的行为。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（八）特殊情形下的问责要求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小微企业授信业务工作人员有证据证明，上级管理人员或所在机构负责人指使、教唆或命令工作人员故意隐瞒事实或违规办理业务，且工作人员对此明确提出了异议的，即使该管理人员或负责人未参与具体业务流程，仍应承担全部或主要责任。视具体情形，可对该提出异议的工作人员予以免责或部分免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同一小微企业授信业务工作人员应对多户不良贷款承担责任的，商业银行应当统一考虑、合并问责。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执行尽职免责后，若有证据证明相关小微企业授信业务工作人员存在主观、故意隐瞒行为的，应当对其追加责任认定。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、规范尽职免责工作流程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（九）完善相关规程制度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小微尽职免责工作流程主要包括尽职免责调查、尽职评议、责任认定等环节。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应按照本通知规定，修改完善小微企业授信业务相关的不良资产及损失责任评议、认定工作规程和责任追究制度，并根据有关法律法规、规章、规范性文件最新规定和业务发展管理的实际需要，及时进行修订更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（十）建立健全组织架构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可在内部成立各级机构小微尽职免责工作领导小组（以下简称“领导小组”），负责尽职免责的认定和处置。领导小组可指定具体部门负责设立尽职评议组织，开展尽职免责调查与评议。小微企业授信业务经营部门应当参与尽职评议和责任认定工作，以保障有关免责规定落到实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（十一）严格落实回避要求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开展尽职评议时，被评议的小微企业授信业务工作人员（含部门负责人、经办人员等，以下简称被评议人）不得参与评议工作。小微企业授信业务工作人员为所评议授信业务申请人关系人，或为所评议授信业务流程相关环节关系人的，应主动声明并回避；事后发现关系人未主动声明和回避的，相关尽职免责评议结果无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（十二）细化工作流程环节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小微企业授信业务发生风险后，对相关工作人员的责任处理，必须以尽职评议组织开展尽职免责调查与评议并进行责任认定为前提，不得以合规检查、信贷检查、专项检查等检查结论替代尽职评议。尽职免责调查可采取调阅、审核相关业务资料等非现场方式，以及必要的谈话、核实等现场方式。调查情况应作为尽职评议的重要依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尽职免责调查结束后，应当形成相应的尽职评议报告。报告主要内容应包括具体授信业务办理情况和业务各环节工作人员履行职责情况，并应对被评议人是否尽职给出明确的评议结论。评议结论可分为尽职、需要改进、不尽职等3类。其中，需要改进是指被评议人基本履行了授信职责，但仍需改进，发现的不足不是导致授信业务出现风险的直接原因，且未造成较大损失。商业银行可依据自身实际，对评议结论类别进行进一步细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领导小组在审核评议结论的基础上，依据相关规定对被评议人作出责任认定。认定为尽职的，可以免除责任；认定为需要改进的，可酌情减免责任追究；认定为不尽职的，应根据相关规程制度要求，启动责任追究程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（十三）明确事实认证与责任认定程序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形成尽职评议结论前，尽职评议组织应制作事实认证材料，送被评议人签字；被评议人拒不签字、且未在规定期限内提出书面异议的，应注明原因和送达时间，并作出书面说明。被评议人在规定期限内提出书面异议的，评议组织应对其意见及证明材料进行审核；不予采纳的，应作出书面说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领导小组应以被评议人签字确认的事实认证材料及书面说明材料和尽职评议组织的评议结论为参考，作出责任认定。责任认定结果应在银行内部公示，并以书面形式告知被评议人及其所在部门。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（十四）加强档案管理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商业银行应对小微企业授信业务及尽职免责工作文档加强管理，客观、全面地记录有关调查、评议、认定过程和结果，并将相关材料存档。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、抓好细化落实和监管督导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（十五）制定实施细则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商业银行应按照本通知要求，结合自身实际，制定相应的小微尽职免责内部实施细则，并将有关情况书面报告监管部门。其他银行业金融机构的小微尽职免责工作参照本通知执行。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（十六）强化监管督导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各级监管部门要加强对商业银行小微尽职免责落实工作的引导和督促,在对商业银行小微企业金融服务工作开展监管评价时，将小微尽职免责落实情况作为重要参考因素。</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p>
    <w:p>
      <w:pPr>
        <w:pStyle w:val="2"/>
        <w:numPr>
          <w:ilvl w:val="0"/>
          <w:numId w:val="0"/>
        </w:numPr>
        <w:ind w:left="922" w:leftChars="0" w:hanging="440" w:firstLineChars="0"/>
      </w:pPr>
      <w:bookmarkStart w:id="292" w:name="_Toc8030"/>
      <w:r>
        <w:rPr>
          <w:rFonts w:cs="宋体" w:asciiTheme="majorEastAsia" w:hAnsiTheme="majorEastAsia" w:eastAsiaTheme="majorEastAsia"/>
          <w:b/>
          <w:bCs/>
          <w:sz w:val="24"/>
          <w:szCs w:val="24"/>
          <w:lang w:val="en-US" w:eastAsia="zh-CN" w:bidi="ar-SA"/>
        </w:rPr>
        <w:t>88.</w:t>
      </w:r>
      <w:r>
        <w:rPr>
          <w:rFonts w:hint="eastAsia"/>
        </w:rPr>
        <w:t>《中国人民银行、财政部、商务部、银监会、证监会、保监会关于金融支持服务贸易发展的指导意见》</w:t>
      </w:r>
      <w:bookmarkEnd w:id="292"/>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发文机构：中国人民银行、财政部、商务部</w:t>
      </w:r>
      <w:r>
        <w:rPr>
          <w:rFonts w:hint="eastAsia" w:cs="宋体" w:asciiTheme="majorEastAsia" w:hAnsiTheme="majorEastAsia" w:eastAsiaTheme="majorEastAsia"/>
        </w:rPr>
        <w:tab/>
      </w:r>
      <w:r>
        <w:rPr>
          <w:rFonts w:hint="eastAsia" w:cs="宋体" w:asciiTheme="majorEastAsia" w:hAnsiTheme="majorEastAsia" w:eastAsiaTheme="majorEastAsia"/>
        </w:rPr>
        <w:t>文号：银发〔2017〕41号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为贯彻落实国务院关于加快发展服务贸易有关工作的决策部署，充分发挥金融引导作用，推动服务贸易便利化，支持服务贸易更好更快发展，提出如下指导意见。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、加强货币信贷政策引导，加大对服务贸易的金融支持力度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继续实施稳健货币政策的同时，加强信贷政策指引，为服务贸易发展创造稳定的货币环境；继续深化利率市场化改革，有效提升金融机构的自主定价能力。金融机构要充分认识服务业发展在国民经济增长中的潜力，准确把握行业发展规律，完善内部信贷政策，加大对服务贸易的支持力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、继续扩大服务贸易人民币跨境使用，加强金融基础设施建设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鼓励和支持在服务贸易及相关的投融资中使用人民币进行计价结算，降低相关汇率风险，节约财务成本；进一步推动人民币跨境支付系统等金融基础设施建设，鼓励境内银行业金融机构与非银行支付机构开展跨境人民币结算业务，支持跨境电子商务活动使用人民币计价结算，便利和扩大服务贸易人民币跨境使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、进一步扩大金融业对内对外开放，增强金融机构对服务贸易企业的支持力度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进一步扩大民间资本进入银行业、证券业和保险业的渠道，积极推动中资金融机构“走出去”，增强金融机构对服务贸易发展的支持力度。在推动民间金融机构设立方面，成熟一家，批准一家，不搞数量限制；继续支持中资金融机构根据自身战略发展方向、现有业务结构特点，在风险可控、商业可持续的前提下加快海外机构布局，建立健全境外分支机构和服务网络，加大对服务贸易企业的融资支持，大力推动服务业“走出去”，提升“走出去”项目绿色水平。鼓励开发性、政策性金融机构在现有业务范围内加大对服务贸易企业开拓国际市场、开展国际并购等业务的支持力度，支持服务贸易重点项目建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、改善融资环境，提高服务贸易企业融资能力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鼓励金融机构按照风险可控、商业可持续原则，创新适合服务贸易发展特点的金融产品和服务，大力发展出口信用保险保单融资，供应链融资、海外并购融资、应收账款质押贷款、仓单质押贷款、融资租赁等业务；推动完善以互联网为基础的动产抵质押登记公示制度建设，将动产抵押登记等涉企信息通过国家企业信用信息公示系统记于企业名下并依法公示；建立健全押品第三方监管制度，鼓励引入押品第三方监管；规范和引导针对小微企业的融资担保服务，促进服务贸易小微企业的增信和融资；发展小额贷款保证保险，增强小微企业的融资能力；取缔不合理收费，降低企业融资成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、鼓励金融产品创新，加强金融服务体系建设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支持期货交易所开发符合市场需要的期货、期权等外汇衍生品，支持符合条件且具备一定风险承受能力的金融机构开发符合市场需要的远期、互换等场外外汇衍生品；鼓励保险机构创新适用服务贸易的保险品种和保险业务，探索研究推出汇率避险险种，在风险可控的前提下采取灵活承保政策，简化投保手续；推动旅游意外保险和旅行社责任保险在旅游服务业中发挥更大的作用；支持支付服务机构跨境支付业务规范发展，进一步推动电子支付发展，为服务贸易创新发展提供安全、高效、便捷的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 、加强直接融资市场建设，拓展服务贸易企业融资渠道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引导服务贸易企业积极运用多种金融工具开拓国际市场，拓展融资渠道；加大对服务贸易企业通过多层次资本市场融资的支持力度；支持服务贸易企业发行非金融企业债务融资工具；支持符合条件服务贸易企业在全国中小企业股份转让系统、交易所挂牌、上市、发行债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 、提升金融机构国际竞争力，促进金融服务贸易发展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进一步完善准入前国民待遇加负面清单的对外开放模式，创造公平的竞争环境，不断提升中资金融机构的服务效率与质量；利用互联网等新技术创新金融服务模式和产品，提升金融服务贸易在国际市场上的竞争优势；继续加大对金融消费者的权益保护，拓宽国内金融服务贸易发展的市场规模，促进金融服务贸易的进口需求；鼓励中资金融机构探索国际业务新模式，拓宽金融服务对象和方式，扩大金融服务业出口需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中国人民银行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财政部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商务部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银监会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证监会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保监会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2017年2月13日</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p>
    <w:p>
      <w:pPr>
        <w:pStyle w:val="2"/>
        <w:numPr>
          <w:ilvl w:val="0"/>
          <w:numId w:val="0"/>
        </w:numPr>
        <w:ind w:left="922" w:leftChars="0" w:hanging="440" w:firstLineChars="0"/>
      </w:pPr>
      <w:bookmarkStart w:id="293" w:name="_Toc23372"/>
      <w:r>
        <w:rPr>
          <w:rFonts w:cs="宋体" w:asciiTheme="majorEastAsia" w:hAnsiTheme="majorEastAsia" w:eastAsiaTheme="majorEastAsia"/>
          <w:b/>
          <w:bCs/>
          <w:sz w:val="24"/>
          <w:szCs w:val="24"/>
          <w:lang w:val="en-US" w:eastAsia="zh-CN" w:bidi="ar-SA"/>
        </w:rPr>
        <w:t>89.</w:t>
      </w:r>
      <w:r>
        <w:rPr>
          <w:rFonts w:hint="eastAsia"/>
        </w:rPr>
        <w:t>《上海票据交易所纸质商业汇票业务操作规程》</w:t>
      </w:r>
      <w:bookmarkEnd w:id="293"/>
    </w:p>
    <w:p>
      <w:pPr>
        <w:spacing w:after="156" w:afterLines="50" w:line="360" w:lineRule="auto"/>
        <w:ind w:firstLine="480" w:firstLineChars="200"/>
        <w:outlineLvl w:val="0"/>
        <w:rPr>
          <w:rFonts w:cs="宋体" w:asciiTheme="majorEastAsia" w:hAnsiTheme="majorEastAsia" w:eastAsiaTheme="majorEastAsia"/>
        </w:rPr>
      </w:pPr>
      <w:bookmarkStart w:id="294" w:name="_Toc18160"/>
      <w:r>
        <w:rPr>
          <w:rFonts w:hint="eastAsia" w:cs="宋体" w:asciiTheme="majorEastAsia" w:hAnsiTheme="majorEastAsia" w:eastAsiaTheme="majorEastAsia"/>
        </w:rPr>
        <w:t>发文机构：上海票据交易所</w:t>
      </w:r>
      <w:r>
        <w:rPr>
          <w:rFonts w:hint="eastAsia" w:cs="宋体" w:asciiTheme="majorEastAsia" w:hAnsiTheme="majorEastAsia" w:eastAsiaTheme="majorEastAsia"/>
        </w:rPr>
        <w:tab/>
      </w:r>
      <w:r>
        <w:rPr>
          <w:rFonts w:hint="eastAsia" w:cs="宋体" w:asciiTheme="majorEastAsia" w:hAnsiTheme="majorEastAsia" w:eastAsiaTheme="majorEastAsia"/>
        </w:rPr>
        <w:t>文号：票交所发〔2017〕17号</w:t>
      </w:r>
      <w:bookmarkEnd w:id="294"/>
    </w:p>
    <w:p>
      <w:pPr>
        <w:spacing w:after="156" w:afterLines="50" w:line="360" w:lineRule="auto"/>
        <w:ind w:firstLine="482" w:firstLineChars="200"/>
        <w:outlineLvl w:val="0"/>
        <w:rPr>
          <w:rFonts w:hint="eastAsia" w:cs="宋体" w:asciiTheme="majorEastAsia" w:hAnsiTheme="majorEastAsia" w:eastAsiaTheme="majorEastAsia"/>
          <w:b/>
          <w:bCs/>
          <w:lang w:eastAsia="zh-CN"/>
        </w:rPr>
      </w:pPr>
      <w:bookmarkStart w:id="295" w:name="_Toc30698"/>
      <w:r>
        <w:rPr>
          <w:rFonts w:hint="eastAsia" w:cs="宋体" w:asciiTheme="majorEastAsia" w:hAnsiTheme="majorEastAsia" w:eastAsiaTheme="majorEastAsia"/>
          <w:b/>
          <w:bCs/>
        </w:rPr>
        <w:t>第一章总则</w:t>
      </w:r>
      <w:bookmarkEnd w:id="29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第一条为规范纸质商业汇票业务操作，促进纸质商业汇票流通，根据《中华人民共和国票据法》、《票据交易管理办法》</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（中国人民银行公告[2016]第29号公布）等法规制度，制定本规程。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第二条系统参与者办理纸质商业汇票（以下简称纸票）承兑、质押、保证、贴现、库存移库、保证增信、付款确认、止付、提示付款、追偿、结清业务，应当通过中国票据交易系统</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（以下简称票交所系统）办理业务或登记信息，并遵守本规程。</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第三条系统参与者办理纸票信息登记应验证票据实物真伪，认真核对相关信息，保证登记信息与票面信息一致。系统参与者对登记信息的真实性、完整性和准确性负责。</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第四条系统参与者应确保其内部系统信息与票交所系统信息一致。</w:t>
      </w:r>
    </w:p>
    <w:p>
      <w:pPr>
        <w:spacing w:after="156" w:afterLines="50" w:line="360" w:lineRule="auto"/>
        <w:ind w:firstLine="482" w:firstLineChars="200"/>
        <w:outlineLvl w:val="0"/>
        <w:rPr>
          <w:rFonts w:hint="eastAsia" w:cs="宋体" w:asciiTheme="majorEastAsia" w:hAnsiTheme="majorEastAsia" w:eastAsiaTheme="majorEastAsia"/>
          <w:b/>
          <w:bCs/>
          <w:lang w:eastAsia="zh-CN"/>
        </w:rPr>
      </w:pPr>
      <w:bookmarkStart w:id="296" w:name="_Toc21184"/>
      <w:r>
        <w:rPr>
          <w:rFonts w:hint="eastAsia" w:cs="宋体" w:asciiTheme="majorEastAsia" w:hAnsiTheme="majorEastAsia" w:eastAsiaTheme="majorEastAsia"/>
          <w:b/>
          <w:bCs/>
        </w:rPr>
        <w:t>第二章一般规定</w:t>
      </w:r>
      <w:bookmarkEnd w:id="296"/>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第五条系统参与者可采用单笔录入或批量导入的方式办理信息登记。</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第六条系统参与者应配置符合票交所系统影像标准的影像设备。在票交所系统登记上传的单个影像文件应清晰可辨，并满足以下要求：</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（一）</w:t>
      </w:r>
      <w:r>
        <w:rPr>
          <w:rFonts w:hint="eastAsia" w:cs="宋体" w:asciiTheme="majorEastAsia" w:hAnsiTheme="majorEastAsia" w:eastAsiaTheme="majorEastAsia"/>
        </w:rPr>
        <w:tab/>
      </w:r>
      <w:r>
        <w:rPr>
          <w:rFonts w:hint="eastAsia" w:cs="宋体" w:asciiTheme="majorEastAsia" w:hAnsiTheme="majorEastAsia" w:eastAsiaTheme="majorEastAsia"/>
        </w:rPr>
        <w:t>16bit以上彩色图像；</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（二）</w:t>
      </w:r>
      <w:r>
        <w:rPr>
          <w:rFonts w:hint="eastAsia" w:cs="宋体" w:asciiTheme="majorEastAsia" w:hAnsiTheme="majorEastAsia" w:eastAsiaTheme="majorEastAsia"/>
        </w:rPr>
        <w:tab/>
      </w:r>
      <w:r>
        <w:rPr>
          <w:rFonts w:hint="eastAsia" w:cs="宋体" w:asciiTheme="majorEastAsia" w:hAnsiTheme="majorEastAsia" w:eastAsiaTheme="majorEastAsia"/>
        </w:rPr>
        <w:t>文件扩展名为“.jpg”或“.JPG”；</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（三）</w:t>
      </w:r>
      <w:r>
        <w:rPr>
          <w:rFonts w:hint="eastAsia" w:cs="宋体" w:asciiTheme="majorEastAsia" w:hAnsiTheme="majorEastAsia" w:eastAsiaTheme="majorEastAsia"/>
        </w:rPr>
        <w:tab/>
      </w:r>
      <w:r>
        <w:rPr>
          <w:rFonts w:hint="eastAsia" w:cs="宋体" w:asciiTheme="majorEastAsia" w:hAnsiTheme="majorEastAsia" w:eastAsiaTheme="majorEastAsia"/>
        </w:rPr>
        <w:t>分辨率不低于200dpi；</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（四）</w:t>
      </w:r>
      <w:r>
        <w:rPr>
          <w:rFonts w:hint="eastAsia" w:cs="宋体" w:asciiTheme="majorEastAsia" w:hAnsiTheme="majorEastAsia" w:eastAsiaTheme="majorEastAsia"/>
        </w:rPr>
        <w:tab/>
      </w:r>
      <w:r>
        <w:rPr>
          <w:rFonts w:hint="eastAsia" w:cs="宋体" w:asciiTheme="majorEastAsia" w:hAnsiTheme="majorEastAsia" w:eastAsiaTheme="majorEastAsia"/>
        </w:rPr>
        <w:t>文件大小不超过512KB；</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（五）</w:t>
      </w:r>
      <w:r>
        <w:rPr>
          <w:rFonts w:hint="eastAsia" w:cs="宋体" w:asciiTheme="majorEastAsia" w:hAnsiTheme="majorEastAsia" w:eastAsiaTheme="majorEastAsia"/>
        </w:rPr>
        <w:tab/>
      </w:r>
      <w:r>
        <w:rPr>
          <w:rFonts w:hint="eastAsia" w:cs="宋体" w:asciiTheme="majorEastAsia" w:hAnsiTheme="majorEastAsia" w:eastAsiaTheme="majorEastAsia"/>
        </w:rPr>
        <w:t>采集的图像应与原票据实物长宽同比例；</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（六）</w:t>
      </w:r>
      <w:r>
        <w:rPr>
          <w:rFonts w:hint="eastAsia" w:cs="宋体" w:asciiTheme="majorEastAsia" w:hAnsiTheme="majorEastAsia" w:eastAsiaTheme="majorEastAsia"/>
        </w:rPr>
        <w:tab/>
      </w:r>
      <w:r>
        <w:rPr>
          <w:rFonts w:hint="eastAsia" w:cs="宋体" w:asciiTheme="majorEastAsia" w:hAnsiTheme="majorEastAsia" w:eastAsiaTheme="majorEastAsia"/>
        </w:rPr>
        <w:t>背书粘单影像必须包含完整骑缝章。</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第七条本规程所称的票据关键信息包括票据类别、票据号码、票据金额、出票日期、票据到期日、承兑行或付款人开户行行号、承兑行或付款人开户行名称、付款行行号、付款行名称。</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承兑行是指在银行承兑汇票（以下简称银票）正面记载“承兑”字样和承兑日期并签章的金融机构；付款行是指银行承兑汇票正面“付款行”栏内记载行号的金融机构；付款人开户行是指商业承兑汇票（以下简称商票）正面“付款人开户行”栏内记载行号的金融机构。</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第八条本规程所称的票据标识信息包括票据类别、票据号码、票据金额、票据到期日、承兑行或付款人开户行行号、承兑行或付款人开户行名称。</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第九条本规程所称的票据保管机构包括贴现保管机构、保证增信机构、承兑保管机构。（一）已贴现票据实物由贴现机构或同一法人下辖其他机构保管的，保管票据实物的机构为贴现保管机构。</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（二）</w:t>
      </w:r>
      <w:r>
        <w:rPr>
          <w:rFonts w:hint="eastAsia" w:cs="宋体" w:asciiTheme="majorEastAsia" w:hAnsiTheme="majorEastAsia" w:eastAsiaTheme="majorEastAsia"/>
        </w:rPr>
        <w:tab/>
      </w:r>
      <w:r>
        <w:rPr>
          <w:rFonts w:hint="eastAsia" w:cs="宋体" w:asciiTheme="majorEastAsia" w:hAnsiTheme="majorEastAsia" w:eastAsiaTheme="majorEastAsia"/>
        </w:rPr>
        <w:t>已贴现票据实物由保证增信机构保管的，保管票据实物的机构为保证增信机构。</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（三）</w:t>
      </w:r>
      <w:r>
        <w:rPr>
          <w:rFonts w:hint="eastAsia" w:cs="宋体" w:asciiTheme="majorEastAsia" w:hAnsiTheme="majorEastAsia" w:eastAsiaTheme="majorEastAsia"/>
        </w:rPr>
        <w:tab/>
      </w:r>
      <w:r>
        <w:rPr>
          <w:rFonts w:hint="eastAsia" w:cs="宋体" w:asciiTheme="majorEastAsia" w:hAnsiTheme="majorEastAsia" w:eastAsiaTheme="majorEastAsia"/>
        </w:rPr>
        <w:t>已贴现票据实物由付款行或付款人开户行保管的，保管票据实物的机构为承兑保管机构。</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十条系统参与者办理质押、保证、贴现信息登记及权属初始登记前，应通过在票交所系统录入票据标识信息的方式，查询待办理业务所涉票据信息。票交所系统中登记的票据关键信息与票据实物记载不一致的，不得办理相关业务。</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第十一条系统参与者在办理承兑、质押、保证、贴现信息登记以及权属初始登记时，复核人员应不晚于次一工作日对经办人员提交的录入信息进行复核，票交所系统将清理未及时复核的录入信息。</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第十二条已办理止付信息登记的票据不得在票交所系统办理除提示付款、库存移库和追偿外的其他业务。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第十三条系统参与者可在票交所系统查询本机构当日登记的信息和业务办理结果，并与其内部系统数据进行账务核对。</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发现信息记录有误的应及时查找差错原因并纠正差错。</w:t>
      </w:r>
    </w:p>
    <w:p>
      <w:pPr>
        <w:spacing w:after="156" w:afterLines="50" w:line="360" w:lineRule="auto"/>
        <w:ind w:firstLine="482" w:firstLineChars="200"/>
        <w:rPr>
          <w:rFonts w:cs="宋体" w:asciiTheme="majorEastAsia" w:hAnsiTheme="majorEastAsia" w:eastAsiaTheme="majorEastAsia"/>
          <w:b/>
          <w:bCs/>
        </w:rPr>
      </w:pPr>
      <w:r>
        <w:rPr>
          <w:rFonts w:hint="eastAsia" w:cs="宋体" w:asciiTheme="majorEastAsia" w:hAnsiTheme="majorEastAsia" w:eastAsiaTheme="majorEastAsia"/>
          <w:b/>
          <w:bCs/>
        </w:rPr>
        <w:t>承兑信息登记</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第十四条纸质银票的承兑行应在不晚于办理承兑后的次一工作日办理承兑信息登记，完成承兑信息登记前不得向出票人交付已承兑票据。纸质商票的付款人应委托其开户行办理承兑信息登记。</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第十五条承兑信息登记要素包括票据关键信息、其他登记信息、票据影像。</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第十六条承兑信息中的其他登记信息包括：</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（一）</w:t>
      </w:r>
      <w:r>
        <w:rPr>
          <w:rFonts w:hint="eastAsia" w:cs="宋体" w:asciiTheme="majorEastAsia" w:hAnsiTheme="majorEastAsia" w:eastAsiaTheme="majorEastAsia"/>
        </w:rPr>
        <w:tab/>
      </w:r>
      <w:r>
        <w:rPr>
          <w:rFonts w:hint="eastAsia" w:cs="宋体" w:asciiTheme="majorEastAsia" w:hAnsiTheme="majorEastAsia" w:eastAsiaTheme="majorEastAsia"/>
        </w:rPr>
        <w:t>纸质银票</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出票人名称、出票人账号、出票人社会信用代码、出票人行业分类、出票人企业规模、出票人三农企业标识、收款人名称、收款人账号、收款人开户行名称。</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（二）</w:t>
      </w:r>
      <w:r>
        <w:rPr>
          <w:rFonts w:hint="eastAsia" w:cs="宋体" w:asciiTheme="majorEastAsia" w:hAnsiTheme="majorEastAsia" w:eastAsiaTheme="majorEastAsia"/>
        </w:rPr>
        <w:tab/>
      </w:r>
      <w:r>
        <w:rPr>
          <w:rFonts w:hint="eastAsia" w:cs="宋体" w:asciiTheme="majorEastAsia" w:hAnsiTheme="majorEastAsia" w:eastAsiaTheme="majorEastAsia"/>
        </w:rPr>
        <w:t>纸质商票</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付款人名称、付款人账号、付款人社会信用代码、付款人行业分类、付款人企业规模、付款人三农企业标识、收款人名称、收款人账号、收款人开户行名称。</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第十七条承兑信息中的票据影像包括票据正面影像和补充影像（若有）。</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第十八条已在人民银行开立清算账户的企业集团财务公司，应在其承兑票据的票面上记载为付款人开户行，并在票交所系统办理其承兑票据的承兑信息登记。</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未在人民银行开立清算账户的企业集团财务公司，应在其承兑票据的票面上将其开户银行记载为付款人开户行，并委托其开户银行办理承兑票据的承兑信息登记。</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第十九条承兑信息登记的办理</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（一）</w:t>
      </w:r>
      <w:r>
        <w:rPr>
          <w:rFonts w:hint="eastAsia" w:cs="宋体" w:asciiTheme="majorEastAsia" w:hAnsiTheme="majorEastAsia" w:eastAsiaTheme="majorEastAsia"/>
        </w:rPr>
        <w:tab/>
      </w:r>
      <w:r>
        <w:rPr>
          <w:rFonts w:hint="eastAsia" w:cs="宋体" w:asciiTheme="majorEastAsia" w:hAnsiTheme="majorEastAsia" w:eastAsiaTheme="majorEastAsia"/>
        </w:rPr>
        <w:t>录入票据关键信息和其他登记信息。承兑信息登记机构经办人员按照票据的票面信息和承兑业务实际，在票交所系统完整录入票据号码等信息。</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（二）</w:t>
      </w:r>
      <w:r>
        <w:rPr>
          <w:rFonts w:hint="eastAsia" w:cs="宋体" w:asciiTheme="majorEastAsia" w:hAnsiTheme="majorEastAsia" w:eastAsiaTheme="majorEastAsia"/>
        </w:rPr>
        <w:tab/>
      </w:r>
      <w:r>
        <w:rPr>
          <w:rFonts w:hint="eastAsia" w:cs="宋体" w:asciiTheme="majorEastAsia" w:hAnsiTheme="majorEastAsia" w:eastAsiaTheme="majorEastAsia"/>
        </w:rPr>
        <w:t>上传票据影像。承兑信息登记机构经办人员对已录入票据关键信息和其他登记信息、待上传影像的票据，逐笔扫描并上传符合票交所系统要求的票据影像。</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（三）</w:t>
      </w:r>
      <w:r>
        <w:rPr>
          <w:rFonts w:hint="eastAsia" w:cs="宋体" w:asciiTheme="majorEastAsia" w:hAnsiTheme="majorEastAsia" w:eastAsiaTheme="majorEastAsia"/>
        </w:rPr>
        <w:tab/>
      </w:r>
      <w:r>
        <w:rPr>
          <w:rFonts w:hint="eastAsia" w:cs="宋体" w:asciiTheme="majorEastAsia" w:hAnsiTheme="majorEastAsia" w:eastAsiaTheme="majorEastAsia"/>
        </w:rPr>
        <w:t>承兑信息复核。承兑信息登记机构复核人员根据票据实物对经办人员录入的票据关键信息、其他登记信息和票据影像逐一核对。核对有误的，退回经办人员修改或删除，修改完成的再次提交复核人员复核；核对无误的，确认复核通过，完成承兑信息登记。</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第二十条承兑信息登记上传的票据影像，复核通过后不得修改和删除。发生影像模糊或漏传、误传影像文件等情况时，应重新上传补充影像进行补充或更正。</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第二十一条已在票交所系统办理承兑信息登记的，如票据实物作废、未用退回或票据关键信息登记有误，承兑信息登记机构可在票交所系统办理票据作废、未用退回、信息作废等承兑信息登记撤回操作。</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已启动后续业务流程的票据不得办理承兑信息登记撤回，承兑信息登记机构需按照本规程第一百二十五、一百二十六的规定，提交申请至上海票据交易所（以下简称票交所）进行信息变更处理。</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二十二条已在票交所系统办理票据作废、未用退回操作的票据，相应的票据号码不得再用于新增的承兑信息登记和其他业务操作；办理信息作废操作的票据，相应的票据号码可用于其他新增票据的承兑信息登记。</w:t>
      </w:r>
    </w:p>
    <w:p>
      <w:pPr>
        <w:spacing w:after="156" w:afterLines="50" w:line="360" w:lineRule="auto"/>
        <w:ind w:firstLine="482" w:firstLineChars="200"/>
        <w:outlineLvl w:val="0"/>
        <w:rPr>
          <w:rFonts w:hint="eastAsia" w:cs="宋体" w:asciiTheme="majorEastAsia" w:hAnsiTheme="majorEastAsia" w:eastAsiaTheme="majorEastAsia"/>
          <w:b/>
          <w:bCs/>
          <w:lang w:eastAsia="zh-CN"/>
        </w:rPr>
      </w:pPr>
      <w:bookmarkStart w:id="297" w:name="_Toc23711"/>
      <w:r>
        <w:rPr>
          <w:rFonts w:hint="eastAsia" w:cs="宋体" w:asciiTheme="majorEastAsia" w:hAnsiTheme="majorEastAsia" w:eastAsiaTheme="majorEastAsia"/>
          <w:b/>
          <w:bCs/>
        </w:rPr>
        <w:t>第四章未贴现票据的质押和保证信息登记</w:t>
      </w:r>
      <w:bookmarkEnd w:id="297"/>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二十三条系统参与者作为质权人、承兑人的保证人（以下称为承兑保证人）办理未贴现票据质押、票据保证业务时，应严格审验票据，在票据实物背书记载“质押”字样或记载保证事项，并不晚于业务办理的次一工作日完整、准确地将质押信息或保证信息登记至票交所系统。</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第二十四条质押信息登记要素包括：票据标识信息、出质日期、出质人名称、出质人账号、质权人名称及质权人行号（系统自动显示当前登记机构）。</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第二十五条保证信息登记要素包括：票据标识信息、保证日期、保证人名称（系统自动显示当前登记机构）、被保证人名称。</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第二十六条质押信息登记的办理</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一）录入质押信息。质押信息登记机构经办人员按照票据的票面信息和质押业务实际录入票据质押信息，提交复核人员复核。（二）质押信息复核。质押信息登记机构复核人员根据票据实物对经办人员录入的信息逐一核对。核对有误的，退回经办人员修改或删除，修改完成的再次提交复核人员复核；核对无误的，确认复核通过，完成质押信息登记。</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第二十七条质押信息登记机构在办理票据质押信息登记后，应妥善保管已质押票据的票据实物。</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第二十八条质押信息登记机构需要解除票据质押的，应于质押解除当日在票交所系统查询登记的票据质押信息，完成质押解除登记，并将票据实物交付出质人。</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第二十九条已在票交所系统进行质押信息登记且未作质押解除登记的票据，不得再办理质押信息登记或办理保证信息登记、贴现信息登记。</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第三十条保证信息登记的办理</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（一）</w:t>
      </w:r>
      <w:r>
        <w:rPr>
          <w:rFonts w:hint="eastAsia" w:cs="宋体" w:asciiTheme="majorEastAsia" w:hAnsiTheme="majorEastAsia" w:eastAsiaTheme="majorEastAsia"/>
        </w:rPr>
        <w:tab/>
      </w:r>
      <w:r>
        <w:rPr>
          <w:rFonts w:hint="eastAsia" w:cs="宋体" w:asciiTheme="majorEastAsia" w:hAnsiTheme="majorEastAsia" w:eastAsiaTheme="majorEastAsia"/>
        </w:rPr>
        <w:t>录入保证信息。保证信息登记机构经办人员录入票据保证信息，提交复核人员复核。</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（二）</w:t>
      </w:r>
      <w:r>
        <w:rPr>
          <w:rFonts w:hint="eastAsia" w:cs="宋体" w:asciiTheme="majorEastAsia" w:hAnsiTheme="majorEastAsia" w:eastAsiaTheme="majorEastAsia"/>
        </w:rPr>
        <w:tab/>
      </w:r>
      <w:r>
        <w:rPr>
          <w:rFonts w:hint="eastAsia" w:cs="宋体" w:asciiTheme="majorEastAsia" w:hAnsiTheme="majorEastAsia" w:eastAsiaTheme="majorEastAsia"/>
        </w:rPr>
        <w:t>保证信息复核。保证信息登记机构复核人员对经办人员录入的信息逐一核对。核对有误的，退回经办人员修改或删除，修改完成的再次提交复核人员复核；核对无误的，确认复核通过，完成保证信息登记。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第三十一条质押、保证信息登记的经办人员可在信息登记当日撤回其提交生效但未启动后续业务流程的登记信息。已启动后续业务流程或信息登记次日起不得办理撤回操作，需提交</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申请至票交所场务进行信息变更处理。质押解除登记复核通过后不得撤回。</w:t>
      </w:r>
    </w:p>
    <w:p>
      <w:pPr>
        <w:spacing w:after="156" w:afterLines="50" w:line="360" w:lineRule="auto"/>
        <w:ind w:firstLine="482" w:firstLineChars="200"/>
        <w:outlineLvl w:val="0"/>
        <w:rPr>
          <w:rFonts w:hint="eastAsia" w:cs="宋体" w:asciiTheme="majorEastAsia" w:hAnsiTheme="majorEastAsia" w:eastAsiaTheme="majorEastAsia"/>
          <w:b/>
          <w:bCs/>
          <w:lang w:eastAsia="zh-CN"/>
        </w:rPr>
      </w:pPr>
      <w:bookmarkStart w:id="298" w:name="_Toc1232"/>
      <w:r>
        <w:rPr>
          <w:rFonts w:hint="eastAsia" w:cs="宋体" w:asciiTheme="majorEastAsia" w:hAnsiTheme="majorEastAsia" w:eastAsiaTheme="majorEastAsia"/>
          <w:b/>
          <w:bCs/>
        </w:rPr>
        <w:t>第五章贴现信息登记</w:t>
      </w:r>
      <w:bookmarkEnd w:id="298"/>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第三十二条系统参与者办理票据贴现前，应通过在票交所系统录入票据标识信息的方式，查询已登记的票据承兑信息。信息不存在或票据关键信息与票据实物记载不一致的，不得办理贴现。</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三十三条贴现机构办理票据贴现，应在被背书人栏中注明贴现机构名称，并在票据背书栏加盖电子登记权属章。票据不敷记载需粘单时，贴现机构在骑缝处加盖汇票专用章、法定代表人或其授权的代理人名章后，在粘单背书人栏加盖电子登记权属章。</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已加盖电子登记权属章的票据不得再以纸质形式进行背书转让、设立质押或者其他交易行为。</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第三十四条电子登记权属章样式要求如下：</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登记章为长方形，长4厘米，宽2.5厘米，须有“已电子登记权属”字样及12位支付系统行号。登记章所刊汉字应为宋体并使用国务院公布的简化字。各贴现机构也可根据自身管理需要增加登记章编号等内容。登记章参考样式如下：</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已电子登记权属</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（012345678900）</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第三十五条贴现机构在办理贴现后，应妥善保管已贴现票据实物。</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第三十六条贴现信息登记机构应不晚于办理票据贴现后次一工作日在票交所系统办理贴现信息登记。贴现信息登记要素包括贴现业务相关信息和贴现影像。</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三十七条贴现业务相关信息包括：票据标识信息、贴现日期、贴现利率、贴现申请人的名称、账号、社会信用代码、企业规模、行业分类、三农企业标识、贴现机构行号及贴现机构名称（系统自动显示当前登记机构）。</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第三十八条贴现信息中的贴现影像包括：</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（一）</w:t>
      </w:r>
      <w:r>
        <w:rPr>
          <w:rFonts w:hint="eastAsia" w:cs="宋体" w:asciiTheme="majorEastAsia" w:hAnsiTheme="majorEastAsia" w:eastAsiaTheme="majorEastAsia"/>
        </w:rPr>
        <w:tab/>
      </w:r>
      <w:r>
        <w:rPr>
          <w:rFonts w:hint="eastAsia" w:cs="宋体" w:asciiTheme="majorEastAsia" w:hAnsiTheme="majorEastAsia" w:eastAsiaTheme="majorEastAsia"/>
        </w:rPr>
        <w:t>贴现票据正面；</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（二）</w:t>
      </w:r>
      <w:r>
        <w:rPr>
          <w:rFonts w:hint="eastAsia" w:cs="宋体" w:asciiTheme="majorEastAsia" w:hAnsiTheme="majorEastAsia" w:eastAsiaTheme="majorEastAsia"/>
        </w:rPr>
        <w:tab/>
      </w:r>
      <w:r>
        <w:rPr>
          <w:rFonts w:hint="eastAsia" w:cs="宋体" w:asciiTheme="majorEastAsia" w:hAnsiTheme="majorEastAsia" w:eastAsiaTheme="majorEastAsia"/>
        </w:rPr>
        <w:t>贴现票据背面及全部背书（含“电子登记权属章”）；</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（三）</w:t>
      </w:r>
      <w:r>
        <w:rPr>
          <w:rFonts w:hint="eastAsia" w:cs="宋体" w:asciiTheme="majorEastAsia" w:hAnsiTheme="majorEastAsia" w:eastAsiaTheme="majorEastAsia"/>
        </w:rPr>
        <w:tab/>
      </w:r>
      <w:r>
        <w:rPr>
          <w:rFonts w:hint="eastAsia" w:cs="宋体" w:asciiTheme="majorEastAsia" w:hAnsiTheme="majorEastAsia" w:eastAsiaTheme="majorEastAsia"/>
        </w:rPr>
        <w:t>票据贴现凭证；</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（四）</w:t>
      </w:r>
      <w:r>
        <w:rPr>
          <w:rFonts w:hint="eastAsia" w:cs="宋体" w:asciiTheme="majorEastAsia" w:hAnsiTheme="majorEastAsia" w:eastAsiaTheme="majorEastAsia"/>
        </w:rPr>
        <w:tab/>
      </w:r>
      <w:r>
        <w:rPr>
          <w:rFonts w:hint="eastAsia" w:cs="宋体" w:asciiTheme="majorEastAsia" w:hAnsiTheme="majorEastAsia" w:eastAsiaTheme="majorEastAsia"/>
        </w:rPr>
        <w:t>背书不连续的证明（若有）；</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（五）</w:t>
      </w:r>
      <w:r>
        <w:rPr>
          <w:rFonts w:hint="eastAsia" w:cs="宋体" w:asciiTheme="majorEastAsia" w:hAnsiTheme="majorEastAsia" w:eastAsiaTheme="majorEastAsia"/>
        </w:rPr>
        <w:tab/>
      </w:r>
      <w:r>
        <w:rPr>
          <w:rFonts w:hint="eastAsia" w:cs="宋体" w:asciiTheme="majorEastAsia" w:hAnsiTheme="majorEastAsia" w:eastAsiaTheme="majorEastAsia"/>
        </w:rPr>
        <w:t>其他补充影像。</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第三十九条贴现信息登记的办理</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（1）录入贴现业务相关信息。贴现信息登记机构经办人员根据待贴现票据的票面信息以及贴现业务实际，录入票据贴现业务相关信息。</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（2）上传贴现影像。贴现信息登记机构经办人员对已录入贴现业务相关信息、待上传贴现影像的票据，逐笔扫描并上传符合票交所系统要求的票据正面影像、票据背面及背书、贴现凭证等贴现影像。</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三）贴现信息复核。贴现信息登记机构复核人员根据票据实物对经办人员录入的贴现信息逐一核对。核对有误的，退回经办人员修改或删除，修改完成的再次提交复核人员复核；核对无误的，确认复核通过，完成贴现信息登记。</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第四十条贴现信息登记经办人员可在贴现信息登记当日撤回其提交生效但未启动后续业务流程的贴现信息。已启动后续业务流程或信息登记次日起不得办理撤回操作，需提交申请至票交所场务进行信息变更处理。</w:t>
      </w:r>
    </w:p>
    <w:p>
      <w:pPr>
        <w:spacing w:after="156" w:afterLines="50" w:line="360" w:lineRule="auto"/>
        <w:ind w:firstLine="482" w:firstLineChars="200"/>
        <w:outlineLvl w:val="0"/>
        <w:rPr>
          <w:rFonts w:hint="eastAsia" w:cs="宋体" w:asciiTheme="majorEastAsia" w:hAnsiTheme="majorEastAsia" w:eastAsiaTheme="majorEastAsia"/>
          <w:b/>
          <w:bCs/>
          <w:lang w:eastAsia="zh-CN"/>
        </w:rPr>
      </w:pPr>
      <w:bookmarkStart w:id="299" w:name="_Toc15361"/>
      <w:r>
        <w:rPr>
          <w:rFonts w:hint="eastAsia" w:cs="宋体" w:asciiTheme="majorEastAsia" w:hAnsiTheme="majorEastAsia" w:eastAsiaTheme="majorEastAsia"/>
          <w:b/>
          <w:bCs/>
        </w:rPr>
        <w:t>第六章权属初始登记</w:t>
      </w:r>
      <w:bookmarkEnd w:id="299"/>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四十一条票据权利人应不晚于贴现信息登记后次一工作日办理权属初始登记。完成权属初始登记前，不得办理已贴现票据的质押、保证以及交易、提示付款、保证增信、追偿业务。权属初始登记机构与贴现机构应为同一法人。</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权属初始登记要素包括：票据标识信息、持票行行号及持票行名称（系统自动显示当前登记机构）。</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四十二条权属初始登记机构经办人员登记录入权属信息，提交复核人员复核。复核人员应对经办人员录入的信息逐一核对。核对有误的，复核人员进行复核驳回，该票据恢复为权属初始登记前的状态。核对无误的，确认复核通过，完成权属初始登记。</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第四十三条未进行权属初始登记的票据，票交所系统将在票据到期日自动将贴现机构登记为票据权利人。</w:t>
      </w:r>
    </w:p>
    <w:p>
      <w:pPr>
        <w:spacing w:after="156" w:afterLines="50" w:line="360" w:lineRule="auto"/>
        <w:ind w:firstLine="482" w:firstLineChars="200"/>
        <w:outlineLvl w:val="0"/>
        <w:rPr>
          <w:rFonts w:hint="eastAsia" w:cs="宋体" w:asciiTheme="majorEastAsia" w:hAnsiTheme="majorEastAsia" w:eastAsiaTheme="majorEastAsia"/>
          <w:lang w:eastAsia="zh-CN"/>
        </w:rPr>
      </w:pPr>
      <w:bookmarkStart w:id="300" w:name="_Toc17296"/>
      <w:r>
        <w:rPr>
          <w:rFonts w:hint="eastAsia" w:cs="宋体" w:asciiTheme="majorEastAsia" w:hAnsiTheme="majorEastAsia" w:eastAsiaTheme="majorEastAsia"/>
          <w:b/>
          <w:bCs/>
        </w:rPr>
        <w:t>第七章已贴现票据的质押和保证业务处理</w:t>
      </w:r>
      <w:bookmarkEnd w:id="300"/>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第四十四条已完成权属初始登记的票据办理质押，由出质机构通过票交所系统向其他系统参与者发起质押业务申请。</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质押到期后，由质权机构向出质机构发起质押解除申请，办理质押解除。</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第四十五条质押业务的办理</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（一）</w:t>
      </w:r>
      <w:r>
        <w:rPr>
          <w:rFonts w:hint="eastAsia" w:cs="宋体" w:asciiTheme="majorEastAsia" w:hAnsiTheme="majorEastAsia" w:eastAsiaTheme="majorEastAsia"/>
        </w:rPr>
        <w:tab/>
      </w:r>
      <w:r>
        <w:rPr>
          <w:rFonts w:hint="eastAsia" w:cs="宋体" w:asciiTheme="majorEastAsia" w:hAnsiTheme="majorEastAsia" w:eastAsiaTheme="majorEastAsia"/>
        </w:rPr>
        <w:t>质押申请。出质机构的经办人员在票交所系统查询并选择需要办理质押的票据，选定质权机构，向质权机构发起质押业务申请。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w:t>
      </w:r>
      <w:r>
        <w:rPr>
          <w:rFonts w:hint="eastAsia" w:cs="宋体" w:asciiTheme="majorEastAsia" w:hAnsiTheme="majorEastAsia" w:eastAsiaTheme="majorEastAsia"/>
        </w:rPr>
        <w:tab/>
      </w:r>
      <w:r>
        <w:rPr>
          <w:rFonts w:hint="eastAsia" w:cs="宋体" w:asciiTheme="majorEastAsia" w:hAnsiTheme="majorEastAsia" w:eastAsiaTheme="majorEastAsia"/>
        </w:rPr>
        <w:t>质押确认。质权机构收到出质机构的质押业务申请，</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在票交所系统审核待质押票据的清单，核对无误后确认通过。</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第四十六条质押解除业务的办理</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（一）</w:t>
      </w:r>
      <w:r>
        <w:rPr>
          <w:rFonts w:hint="eastAsia" w:cs="宋体" w:asciiTheme="majorEastAsia" w:hAnsiTheme="majorEastAsia" w:eastAsiaTheme="majorEastAsia"/>
        </w:rPr>
        <w:tab/>
      </w:r>
      <w:r>
        <w:rPr>
          <w:rFonts w:hint="eastAsia" w:cs="宋体" w:asciiTheme="majorEastAsia" w:hAnsiTheme="majorEastAsia" w:eastAsiaTheme="majorEastAsia"/>
        </w:rPr>
        <w:t>质押解除申请。票据质押到期时，质权机构的经办人员应在票交所系统查询并选择质押待解除的票据，向出质机构发起质押解除申请。</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（二）</w:t>
      </w:r>
      <w:r>
        <w:rPr>
          <w:rFonts w:hint="eastAsia" w:cs="宋体" w:asciiTheme="majorEastAsia" w:hAnsiTheme="majorEastAsia" w:eastAsiaTheme="majorEastAsia"/>
        </w:rPr>
        <w:tab/>
      </w:r>
      <w:r>
        <w:rPr>
          <w:rFonts w:hint="eastAsia" w:cs="宋体" w:asciiTheme="majorEastAsia" w:hAnsiTheme="majorEastAsia" w:eastAsiaTheme="majorEastAsia"/>
        </w:rPr>
        <w:t>质押解除确认。出质机构收到质权机构的质押解除申请，在票交所系统审核待解除质押票据的清单，核对无误后确认通过。</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第四十七条已在票交所系统办理质押的票据，如未办理质押解除，不得办理交易业务或再次发起质押。</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四十八条已在票交所系统办理质押且未解除质押的票据，如质押票据到期，票交所系统在票据到期日自动向付款行或付款人开户行发起提示付款申请，并将付款行或付款人开户行支付的票据金额划转至质权机构资金账户。质权机构未获得付款行或付款人开户行付款的，可通过票交所系统按照追偿流程向保证增信行（若有）、贴现机构、贴现保证人（若有）发起追偿。</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第四十九条已完成权属初始登记的票据办理票据保证，权属初始登记机构应在发起交易前，通过票交所系统向其他系统参与者发起保证业务申请。</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票据保证外的民事保证不需通过票交所系统办理。</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第五十条保证业务的办理</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（一）</w:t>
      </w:r>
      <w:r>
        <w:rPr>
          <w:rFonts w:hint="eastAsia" w:cs="宋体" w:asciiTheme="majorEastAsia" w:hAnsiTheme="majorEastAsia" w:eastAsiaTheme="majorEastAsia"/>
        </w:rPr>
        <w:tab/>
      </w:r>
      <w:r>
        <w:rPr>
          <w:rFonts w:hint="eastAsia" w:cs="宋体" w:asciiTheme="majorEastAsia" w:hAnsiTheme="majorEastAsia" w:eastAsiaTheme="majorEastAsia"/>
        </w:rPr>
        <w:t>保证申请。权属初始登记机构的经办人员在票交所系统查询并选择需要办理保证的票据，选定保证机构，向保证机构发起保证业务申请。</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（二）</w:t>
      </w:r>
      <w:r>
        <w:rPr>
          <w:rFonts w:hint="eastAsia" w:cs="宋体" w:asciiTheme="majorEastAsia" w:hAnsiTheme="majorEastAsia" w:eastAsiaTheme="majorEastAsia"/>
        </w:rPr>
        <w:tab/>
      </w:r>
      <w:r>
        <w:rPr>
          <w:rFonts w:hint="eastAsia" w:cs="宋体" w:asciiTheme="majorEastAsia" w:hAnsiTheme="majorEastAsia" w:eastAsiaTheme="majorEastAsia"/>
        </w:rPr>
        <w:t>保证确认。保证机构收到权属初始登记机构的保证业务申请，在票交所系统审核票据清单无误后确认通过。</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第五十一条保证申请经确认后，保证机构不得撤销保证。保证机构作为保证人（以下称为贴现保证人）承担保证责任，与贴现机构负担同一内容的票据债务。</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第五十二条已在票交所系统发起质押、质押解除或保证申请的，如业务受理机构未在票交所系统中对申请进行确认，则业务发起机构可在票交所系统对质押、质押解除或保证申请做撤回处理。</w:t>
      </w:r>
    </w:p>
    <w:p>
      <w:pPr>
        <w:spacing w:after="156" w:afterLines="50" w:line="360" w:lineRule="auto"/>
        <w:ind w:firstLine="482" w:firstLineChars="200"/>
        <w:outlineLvl w:val="0"/>
        <w:rPr>
          <w:rFonts w:hint="eastAsia" w:cs="宋体" w:asciiTheme="majorEastAsia" w:hAnsiTheme="majorEastAsia" w:eastAsiaTheme="majorEastAsia"/>
          <w:b/>
          <w:bCs/>
          <w:lang w:eastAsia="zh-CN"/>
        </w:rPr>
      </w:pPr>
      <w:bookmarkStart w:id="301" w:name="_Toc12330"/>
      <w:r>
        <w:rPr>
          <w:rFonts w:hint="eastAsia" w:cs="宋体" w:asciiTheme="majorEastAsia" w:hAnsiTheme="majorEastAsia" w:eastAsiaTheme="majorEastAsia"/>
          <w:b/>
          <w:bCs/>
        </w:rPr>
        <w:t>第八章库存移库业务处理</w:t>
      </w:r>
      <w:bookmarkEnd w:id="301"/>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第五十三条贴现保管机构根据库存管理需要，可在同一法人机构间进行库存移库。</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第五十四条库存移出申请</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（一）</w:t>
      </w:r>
      <w:r>
        <w:rPr>
          <w:rFonts w:hint="eastAsia" w:cs="宋体" w:asciiTheme="majorEastAsia" w:hAnsiTheme="majorEastAsia" w:eastAsiaTheme="majorEastAsia"/>
        </w:rPr>
        <w:tab/>
      </w:r>
      <w:r>
        <w:rPr>
          <w:rFonts w:hint="eastAsia" w:cs="宋体" w:asciiTheme="majorEastAsia" w:hAnsiTheme="majorEastAsia" w:eastAsiaTheme="majorEastAsia"/>
        </w:rPr>
        <w:t>发送申请。库存移出机构经办人员在票交所系统查询并选择需库存移出的票据，选定库存移入机构，将库存移库申请发送至库存移入机构。</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（二）</w:t>
      </w:r>
      <w:r>
        <w:rPr>
          <w:rFonts w:hint="eastAsia" w:cs="宋体" w:asciiTheme="majorEastAsia" w:hAnsiTheme="majorEastAsia" w:eastAsiaTheme="majorEastAsia"/>
        </w:rPr>
        <w:tab/>
      </w:r>
      <w:r>
        <w:rPr>
          <w:rFonts w:hint="eastAsia" w:cs="宋体" w:asciiTheme="majorEastAsia" w:hAnsiTheme="majorEastAsia" w:eastAsiaTheme="majorEastAsia"/>
        </w:rPr>
        <w:t>移送实物。库存移出机构库房管理人员根据票交所系统中的库存待移出票据清单，挑选票据实物出库，移送至库存移入机构。</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第五十五条已在票交所系统发起库存移出申请的，如库存移入机构未在票交所系统中确认移入，则库存移出机构可在收妥票据实物后在票交所系统对库存移出申请做撤回处理。</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第五十六条库存移入处理</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（一）</w:t>
      </w:r>
      <w:r>
        <w:rPr>
          <w:rFonts w:hint="eastAsia" w:cs="宋体" w:asciiTheme="majorEastAsia" w:hAnsiTheme="majorEastAsia" w:eastAsiaTheme="majorEastAsia"/>
        </w:rPr>
        <w:tab/>
      </w:r>
      <w:r>
        <w:rPr>
          <w:rFonts w:hint="eastAsia" w:cs="宋体" w:asciiTheme="majorEastAsia" w:hAnsiTheme="majorEastAsia" w:eastAsiaTheme="majorEastAsia"/>
        </w:rPr>
        <w:t>移库确认。库存移入机构经办人员收妥移送的票据实物后，在票交所系统对库存待移入票据进行逐笔核对，票据实物与票交所系统中待移入票据信息核对一致的，确认库存移入。</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（二）</w:t>
      </w:r>
      <w:r>
        <w:rPr>
          <w:rFonts w:hint="eastAsia" w:cs="宋体" w:asciiTheme="majorEastAsia" w:hAnsiTheme="majorEastAsia" w:eastAsiaTheme="majorEastAsia"/>
        </w:rPr>
        <w:tab/>
      </w:r>
      <w:r>
        <w:rPr>
          <w:rFonts w:hint="eastAsia" w:cs="宋体" w:asciiTheme="majorEastAsia" w:hAnsiTheme="majorEastAsia" w:eastAsiaTheme="majorEastAsia"/>
        </w:rPr>
        <w:t>移库退票。核对未通过的票据，库存移入机构经办人员应在票交所系统作移库退回处理。需退回的票据实物，由库存移入机构与库存移出机构确认退票原因并办理交接。</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第五十七条库存移出机构在收到库存移入机构的移库退票申请后，应做好票据实物的核对交接，并在票交所系统对库存移入机构的移库退票申请进行确认。</w:t>
      </w:r>
    </w:p>
    <w:p>
      <w:pPr>
        <w:spacing w:after="156" w:afterLines="50" w:line="360" w:lineRule="auto"/>
        <w:ind w:firstLine="482" w:firstLineChars="200"/>
        <w:outlineLvl w:val="0"/>
        <w:rPr>
          <w:rFonts w:hint="eastAsia" w:cs="宋体" w:asciiTheme="majorEastAsia" w:hAnsiTheme="majorEastAsia" w:eastAsiaTheme="majorEastAsia"/>
          <w:b/>
          <w:bCs/>
          <w:lang w:eastAsia="zh-CN"/>
        </w:rPr>
      </w:pPr>
      <w:bookmarkStart w:id="302" w:name="_Toc120"/>
      <w:r>
        <w:rPr>
          <w:rFonts w:hint="eastAsia" w:cs="宋体" w:asciiTheme="majorEastAsia" w:hAnsiTheme="majorEastAsia" w:eastAsiaTheme="majorEastAsia"/>
          <w:b/>
          <w:bCs/>
        </w:rPr>
        <w:t>第九章保证增信业务处理</w:t>
      </w:r>
      <w:bookmarkEnd w:id="302"/>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第五十八条保证增信是指银行类系统参与者接受纸质票据的权属初始登记机构即票据权利人委托，保管票据实物并先于贴现机构承担偿付责任的增信行为。</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第五十九条权属初始登记机构在票交所系统登记权属后，在发起票据交易前，可向票交所其他银行类会员申请保证增信。</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第六十条权属初始登记机构作为贴现保管机构自行保管票据时，可直接向保证增信机构发起库存移出申请并移送票据实物。</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（一）</w:t>
      </w:r>
      <w:r>
        <w:rPr>
          <w:rFonts w:hint="eastAsia" w:cs="宋体" w:asciiTheme="majorEastAsia" w:hAnsiTheme="majorEastAsia" w:eastAsiaTheme="majorEastAsia"/>
        </w:rPr>
        <w:tab/>
      </w:r>
      <w:r>
        <w:rPr>
          <w:rFonts w:hint="eastAsia" w:cs="宋体" w:asciiTheme="majorEastAsia" w:hAnsiTheme="majorEastAsia" w:eastAsiaTheme="majorEastAsia"/>
        </w:rPr>
        <w:t>发送申请。权属初始登记机构经办人员在票交所系统查询并选择符合条件的票据，选定保证增信机构后，向保证增信机构发送库存移库申请。</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（二）</w:t>
      </w:r>
      <w:r>
        <w:rPr>
          <w:rFonts w:hint="eastAsia" w:cs="宋体" w:asciiTheme="majorEastAsia" w:hAnsiTheme="majorEastAsia" w:eastAsiaTheme="majorEastAsia"/>
        </w:rPr>
        <w:tab/>
      </w:r>
      <w:r>
        <w:rPr>
          <w:rFonts w:hint="eastAsia" w:cs="宋体" w:asciiTheme="majorEastAsia" w:hAnsiTheme="majorEastAsia" w:eastAsiaTheme="majorEastAsia"/>
        </w:rPr>
        <w:t>移送实物。权属初始登记机构库房管理人员根据票交所系统中的库存待移出票据清单，挑选票据实物出库，移送保证增信机构。</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第六十一条权属初始登记机构未自行保管票据实物时，应在票交所系统发起非自保管票据的保证增信申请，由贴现保管机构移送票据实物。</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（一）</w:t>
      </w:r>
      <w:r>
        <w:rPr>
          <w:rFonts w:hint="eastAsia" w:cs="宋体" w:asciiTheme="majorEastAsia" w:hAnsiTheme="majorEastAsia" w:eastAsiaTheme="majorEastAsia"/>
        </w:rPr>
        <w:tab/>
      </w:r>
      <w:r>
        <w:rPr>
          <w:rFonts w:hint="eastAsia" w:cs="宋体" w:asciiTheme="majorEastAsia" w:hAnsiTheme="majorEastAsia" w:eastAsiaTheme="majorEastAsia"/>
        </w:rPr>
        <w:t>发起库存移出申请。权属初始登记机构经办人员在票交所系统查询并选择符合条件的票据，选定保证增信机构后，向贴现保管机构发起库存移出申请。</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（二）</w:t>
      </w:r>
      <w:r>
        <w:rPr>
          <w:rFonts w:hint="eastAsia" w:cs="宋体" w:asciiTheme="majorEastAsia" w:hAnsiTheme="majorEastAsia" w:eastAsiaTheme="majorEastAsia"/>
        </w:rPr>
        <w:tab/>
      </w:r>
      <w:r>
        <w:rPr>
          <w:rFonts w:hint="eastAsia" w:cs="宋体" w:asciiTheme="majorEastAsia" w:hAnsiTheme="majorEastAsia" w:eastAsiaTheme="majorEastAsia"/>
        </w:rPr>
        <w:t>办理库存移出。贴现保管机构经办人员确认票交所系统中的库存移出申请，向保证增信机构发起库存移出，并由库房管理人员根据票交所系统中的库存待移出票据清单，挑选票据实物出库，移送保证增信机构。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第六十二条已在票交所系统发起保证增信申请的，如保证增信机构未在票交所系统中对申请进行确认，则贴现保管机构</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可在收妥实物后，在票交所系统对库存移库申请做撤回处理。</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第六十三条保证增信机构的库存移入处理</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（一）</w:t>
      </w:r>
      <w:r>
        <w:rPr>
          <w:rFonts w:hint="eastAsia" w:cs="宋体" w:asciiTheme="majorEastAsia" w:hAnsiTheme="majorEastAsia" w:eastAsiaTheme="majorEastAsia"/>
        </w:rPr>
        <w:tab/>
      </w:r>
      <w:r>
        <w:rPr>
          <w:rFonts w:hint="eastAsia" w:cs="宋体" w:asciiTheme="majorEastAsia" w:hAnsiTheme="majorEastAsia" w:eastAsiaTheme="majorEastAsia"/>
        </w:rPr>
        <w:t>票据审验。保证增信机构应收妥移送的票据实物，并对票据真伪和背书情况进行双人审验，与票交所系统中登记的票据信息和影像信息进行核对，确保每张票据审验核对无误后进行后续处理。</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（二）</w:t>
      </w:r>
      <w:r>
        <w:rPr>
          <w:rFonts w:hint="eastAsia" w:cs="宋体" w:asciiTheme="majorEastAsia" w:hAnsiTheme="majorEastAsia" w:eastAsiaTheme="majorEastAsia"/>
        </w:rPr>
        <w:tab/>
      </w:r>
      <w:r>
        <w:rPr>
          <w:rFonts w:hint="eastAsia" w:cs="宋体" w:asciiTheme="majorEastAsia" w:hAnsiTheme="majorEastAsia" w:eastAsiaTheme="majorEastAsia"/>
        </w:rPr>
        <w:t>确认保证增信。保证增信机构经办人员在票交所系统对库存待移入票据清单进行逐笔核对，票据实物与票交所系统中待移入票据票号核对一致的，确认入库。</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第六十四条保证增信机构经办人员对审验或核对未通过的库存待移入票据，在票交所系统作退回处理。需退回的票据实物，由保证增信机构与库存移出机构确认退回原因并办理交接。</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第六十五条库存移出机构在收到移库退票申请后，应做好票据实物的核对交接，并在票交所系统对移库退票申请进行确认。</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第六十六条保证增信机构收到票据实物并确认保证增信后，应妥善保管票据实物，除办理实物确认外不得将票据实物移转至其他机构保管。</w:t>
      </w:r>
    </w:p>
    <w:p>
      <w:pPr>
        <w:spacing w:after="156" w:afterLines="50" w:line="360" w:lineRule="auto"/>
        <w:ind w:firstLine="482" w:firstLineChars="200"/>
        <w:rPr>
          <w:rFonts w:cs="宋体" w:asciiTheme="majorEastAsia" w:hAnsiTheme="majorEastAsia" w:eastAsiaTheme="majorEastAsia"/>
          <w:b/>
          <w:bCs/>
        </w:rPr>
      </w:pPr>
      <w:r>
        <w:rPr>
          <w:rFonts w:hint="eastAsia" w:cs="宋体" w:asciiTheme="majorEastAsia" w:hAnsiTheme="majorEastAsia" w:eastAsiaTheme="majorEastAsia"/>
          <w:b/>
          <w:bCs/>
        </w:rPr>
        <w:t>付款确认业务处理</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第六十七条付款确认包括影像确认和实物确认。</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（一）</w:t>
      </w:r>
      <w:r>
        <w:rPr>
          <w:rFonts w:hint="eastAsia" w:cs="宋体" w:asciiTheme="majorEastAsia" w:hAnsiTheme="majorEastAsia" w:eastAsiaTheme="majorEastAsia"/>
        </w:rPr>
        <w:tab/>
      </w:r>
      <w:r>
        <w:rPr>
          <w:rFonts w:hint="eastAsia" w:cs="宋体" w:asciiTheme="majorEastAsia" w:hAnsiTheme="majorEastAsia" w:eastAsiaTheme="majorEastAsia"/>
        </w:rPr>
        <w:t>影像确认是指票据保管机构通过票交所系统登记的票据信息和影像信息请求付款行或付款人开户行进行付款确认。</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（二）</w:t>
      </w:r>
      <w:r>
        <w:rPr>
          <w:rFonts w:hint="eastAsia" w:cs="宋体" w:asciiTheme="majorEastAsia" w:hAnsiTheme="majorEastAsia" w:eastAsiaTheme="majorEastAsia"/>
        </w:rPr>
        <w:tab/>
      </w:r>
      <w:r>
        <w:rPr>
          <w:rFonts w:hint="eastAsia" w:cs="宋体" w:asciiTheme="majorEastAsia" w:hAnsiTheme="majorEastAsia" w:eastAsiaTheme="majorEastAsia"/>
        </w:rPr>
        <w:t>实物确认是指票据保管机构通过票据实物请求付款行或付款人开户行进行付款确认。</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票据保管机构在票交所系统发起实物确认申请后，应及时将纸质银票实物移送付款行进行确认，将纸质商票实物移送付款人开户行由付款人进行确认。纸质商票付款人应委托其开户行进行确认应答。</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第六十八条在票交所系统完成贴现信息登记后，票据保管机构可手动向付款行或付款人开户行发起付款确认申请。</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票据保管机构未在贴现信息登记当日手动发起付款确认申请的，票交所系统将在贴现信息登记完成后的次一工作日自动向付款行或付款人开户行发起影像确认申请。</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六十九条票据保管机构未在贴现信息登记当日手动发起付款确认申请，但发起保证增信申请的，在保证增信机构确认保证增信前，票交所系统不自动向付款行或付款人开户行发起影像确认申请。保证增信机构确认保证增信的当日，可手动发起付款确认申请。</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第七十条同时满足以下条件时，票交所系统将在保证增信后的次一工作日自动向付款行或付款人开户行发起影像确认申请：</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（一）</w:t>
      </w:r>
      <w:r>
        <w:rPr>
          <w:rFonts w:hint="eastAsia" w:cs="宋体" w:asciiTheme="majorEastAsia" w:hAnsiTheme="majorEastAsia" w:eastAsiaTheme="majorEastAsia"/>
        </w:rPr>
        <w:tab/>
      </w:r>
      <w:r>
        <w:rPr>
          <w:rFonts w:hint="eastAsia" w:cs="宋体" w:asciiTheme="majorEastAsia" w:hAnsiTheme="majorEastAsia" w:eastAsiaTheme="majorEastAsia"/>
        </w:rPr>
        <w:t>票据贴现保管机构未在贴现信息登记当日手动发起付款确认申请；</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（二）</w:t>
      </w:r>
      <w:r>
        <w:rPr>
          <w:rFonts w:hint="eastAsia" w:cs="宋体" w:asciiTheme="majorEastAsia" w:hAnsiTheme="majorEastAsia" w:eastAsiaTheme="majorEastAsia"/>
        </w:rPr>
        <w:tab/>
      </w:r>
      <w:r>
        <w:rPr>
          <w:rFonts w:hint="eastAsia" w:cs="宋体" w:asciiTheme="majorEastAsia" w:hAnsiTheme="majorEastAsia" w:eastAsiaTheme="majorEastAsia"/>
        </w:rPr>
        <w:t>票据贴现保管机构在贴现信息登记当日在票交所系统发起保证增信业务申请；</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（三）</w:t>
      </w:r>
      <w:r>
        <w:rPr>
          <w:rFonts w:hint="eastAsia" w:cs="宋体" w:asciiTheme="majorEastAsia" w:hAnsiTheme="majorEastAsia" w:eastAsiaTheme="majorEastAsia"/>
        </w:rPr>
        <w:tab/>
      </w:r>
      <w:r>
        <w:rPr>
          <w:rFonts w:hint="eastAsia" w:cs="宋体" w:asciiTheme="majorEastAsia" w:hAnsiTheme="majorEastAsia" w:eastAsiaTheme="majorEastAsia"/>
        </w:rPr>
        <w:t>保证增信机构未在确认保证增信的当日手动发起付款确认申请。</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第七十一条付款行或付款人开户行收到影像确认申请，应在三个工作日内根据不同情况在票交所系统做出应答，应答类型包括审批通过、需补录影像、需实物鉴定。（一）审批通过</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对票据的背书连续性、票据关键信息准确性和票据真实性无异议，同意如无其他合法抗辩理由（不包含票据真实性）将在票据到期后付款，应选择应答类型为审批通过。</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（二）</w:t>
      </w:r>
      <w:r>
        <w:rPr>
          <w:rFonts w:hint="eastAsia" w:cs="宋体" w:asciiTheme="majorEastAsia" w:hAnsiTheme="majorEastAsia" w:eastAsiaTheme="majorEastAsia"/>
        </w:rPr>
        <w:tab/>
      </w:r>
      <w:r>
        <w:rPr>
          <w:rFonts w:hint="eastAsia" w:cs="宋体" w:asciiTheme="majorEastAsia" w:hAnsiTheme="majorEastAsia" w:eastAsiaTheme="majorEastAsia"/>
        </w:rPr>
        <w:t>需补录影像</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对票据关键信息准确性和票据真实性无异议，但对票据的背书连续性有异议，需补充说明，应选择的应答类型为需补录影像。</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付款行或付款人认为票据背书不连续的，付款行或付款人开户行应在应答时一次性指出所有不连续情形及详细理由。</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（三）</w:t>
      </w:r>
      <w:r>
        <w:rPr>
          <w:rFonts w:hint="eastAsia" w:cs="宋体" w:asciiTheme="majorEastAsia" w:hAnsiTheme="majorEastAsia" w:eastAsiaTheme="majorEastAsia"/>
        </w:rPr>
        <w:tab/>
      </w:r>
      <w:r>
        <w:rPr>
          <w:rFonts w:hint="eastAsia" w:cs="宋体" w:asciiTheme="majorEastAsia" w:hAnsiTheme="majorEastAsia" w:eastAsiaTheme="majorEastAsia"/>
        </w:rPr>
        <w:t>需实物鉴定</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收到影像确认申请，认为无法对票据的背书连续性或票据真实性做出准确判断，需贴现保管机构或保证增信机构移送票据实物进行确认，应选择的应答类型为需实物鉴定。</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第七十二条付款行或付款人开户行收到实物确认申请及票据实物后，应在三个工作日内根据不同情况在票交所系统做出应答，应答类型包括审批通过、需补录影像、审批拒绝。</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（一）</w:t>
      </w:r>
      <w:r>
        <w:rPr>
          <w:rFonts w:hint="eastAsia" w:cs="宋体" w:asciiTheme="majorEastAsia" w:hAnsiTheme="majorEastAsia" w:eastAsiaTheme="majorEastAsia"/>
        </w:rPr>
        <w:tab/>
      </w:r>
      <w:r>
        <w:rPr>
          <w:rFonts w:hint="eastAsia" w:cs="宋体" w:asciiTheme="majorEastAsia" w:hAnsiTheme="majorEastAsia" w:eastAsiaTheme="majorEastAsia"/>
        </w:rPr>
        <w:t>审批通过</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对票据的背书连续性、票据关键信息准确性和票据真实性无异议，同意如无其他合法抗辩理由（不包含票据真实性）将在票据到期后付款，应选择的应答类型为审批通过。</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（二）</w:t>
      </w:r>
      <w:r>
        <w:rPr>
          <w:rFonts w:hint="eastAsia" w:cs="宋体" w:asciiTheme="majorEastAsia" w:hAnsiTheme="majorEastAsia" w:eastAsiaTheme="majorEastAsia"/>
        </w:rPr>
        <w:tab/>
      </w:r>
      <w:r>
        <w:rPr>
          <w:rFonts w:hint="eastAsia" w:cs="宋体" w:asciiTheme="majorEastAsia" w:hAnsiTheme="majorEastAsia" w:eastAsiaTheme="majorEastAsia"/>
        </w:rPr>
        <w:t>需补录影像对票据关键信息准确性和票据真实性无异议，但对票据的背书连续性有异议，需补充说明，应选择的应答类型为需补录影像。</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付款行或付款人认为票据背书不连续的，付款行或付款人开户行应在应答时一次性指出所有不连续情形及详细理由。</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（三）</w:t>
      </w:r>
      <w:r>
        <w:rPr>
          <w:rFonts w:hint="eastAsia" w:cs="宋体" w:asciiTheme="majorEastAsia" w:hAnsiTheme="majorEastAsia" w:eastAsiaTheme="majorEastAsia"/>
        </w:rPr>
        <w:tab/>
      </w:r>
      <w:r>
        <w:rPr>
          <w:rFonts w:hint="eastAsia" w:cs="宋体" w:asciiTheme="majorEastAsia" w:hAnsiTheme="majorEastAsia" w:eastAsiaTheme="majorEastAsia"/>
        </w:rPr>
        <w:t>审批拒绝</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收到实物确认申请和票据实物后，经审验认为票据实物为假票，应选择应答类型为审批拒绝。应答后，应将票据实物移送中国印钞造币总公司鉴定后，提交票交所场务做后续处理。</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第七十三条付款行或付款人开户行收到票交所系统自动发送的影像确认申请后，未在三个工作日内做出应答的，票交所系统自动应答为需实物鉴定。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第七十四条付款行或付款人开户行经审核认为背书不连续的，可以对付款确认申请不予审批通过，要求票据保管机构</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通过补录影像的方式提供说明等补充资料。背书不连续包括：</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（一）</w:t>
      </w:r>
      <w:r>
        <w:rPr>
          <w:rFonts w:hint="eastAsia" w:cs="宋体" w:asciiTheme="majorEastAsia" w:hAnsiTheme="majorEastAsia" w:eastAsiaTheme="majorEastAsia"/>
        </w:rPr>
        <w:tab/>
      </w:r>
      <w:r>
        <w:rPr>
          <w:rFonts w:hint="eastAsia" w:cs="宋体" w:asciiTheme="majorEastAsia" w:hAnsiTheme="majorEastAsia" w:eastAsiaTheme="majorEastAsia"/>
        </w:rPr>
        <w:t>背书签章未依次前后衔接；</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（二）</w:t>
      </w:r>
      <w:r>
        <w:rPr>
          <w:rFonts w:hint="eastAsia" w:cs="宋体" w:asciiTheme="majorEastAsia" w:hAnsiTheme="majorEastAsia" w:eastAsiaTheme="majorEastAsia"/>
        </w:rPr>
        <w:tab/>
      </w:r>
      <w:r>
        <w:rPr>
          <w:rFonts w:hint="eastAsia" w:cs="宋体" w:asciiTheme="majorEastAsia" w:hAnsiTheme="majorEastAsia" w:eastAsiaTheme="majorEastAsia"/>
        </w:rPr>
        <w:t>背书记载不清晰；</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（三）</w:t>
      </w:r>
      <w:r>
        <w:rPr>
          <w:rFonts w:hint="eastAsia" w:cs="宋体" w:asciiTheme="majorEastAsia" w:hAnsiTheme="majorEastAsia" w:eastAsiaTheme="majorEastAsia"/>
        </w:rPr>
        <w:tab/>
      </w:r>
      <w:r>
        <w:rPr>
          <w:rFonts w:hint="eastAsia" w:cs="宋体" w:asciiTheme="majorEastAsia" w:hAnsiTheme="majorEastAsia" w:eastAsiaTheme="majorEastAsia"/>
        </w:rPr>
        <w:t>背书人签章缺少单位印章、法定代表人或其授权的代理人签章；</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（四）</w:t>
      </w:r>
      <w:r>
        <w:rPr>
          <w:rFonts w:hint="eastAsia" w:cs="宋体" w:asciiTheme="majorEastAsia" w:hAnsiTheme="majorEastAsia" w:eastAsiaTheme="majorEastAsia"/>
        </w:rPr>
        <w:tab/>
      </w:r>
      <w:r>
        <w:rPr>
          <w:rFonts w:hint="eastAsia" w:cs="宋体" w:asciiTheme="majorEastAsia" w:hAnsiTheme="majorEastAsia" w:eastAsiaTheme="majorEastAsia"/>
        </w:rPr>
        <w:t>背书粘单未加盖骑缝章、骑缝章不连续或骑缝章不清晰；</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（五）</w:t>
      </w:r>
      <w:r>
        <w:rPr>
          <w:rFonts w:hint="eastAsia" w:cs="宋体" w:asciiTheme="majorEastAsia" w:hAnsiTheme="majorEastAsia" w:eastAsiaTheme="majorEastAsia"/>
        </w:rPr>
        <w:tab/>
      </w:r>
      <w:r>
        <w:rPr>
          <w:rFonts w:hint="eastAsia" w:cs="宋体" w:asciiTheme="majorEastAsia" w:hAnsiTheme="majorEastAsia" w:eastAsiaTheme="majorEastAsia"/>
        </w:rPr>
        <w:t>背书记载文字有歧义。本条所称单位印章、法定代表人或其授权的代理人签章、被背书人名称、骑缝章不清晰等情况，指达到一般注意义务无法辨别的标准。除以上情况外，付款行或付款人不得以背书不连续为由对付款确认申请不予审批通过。</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第七十五条付款行或付款人开户行要求实物确认的，贴现保管机构或保证增信机构应在票交所系统手动发起实物确认申请，并及时向付款行或付款人开户行移送票据实物。</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第七十六条付款行或付款人开户行要求补录影像的，贴现保管机构或保证增信机构应在票交所系统登记上传相关补充说明的影像文件，并手动发起影像确认申请。</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第七十七条票据实物在影像确认期间变更票据保管机构的，由票交所系统将付款行或付款人开户行的影像确认申请应答结果发送至新的票据保管机构，由其进行后续业务处理。</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第七十八条付款行或付款人开户行收到票据实物后应妥善保管，不得将票据实物移转至其他机构保管。</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第七十九条票据保管机构经办人员可对其手动发起且付款行或付款人开户行未做应答的影像确认申请做撤回处理。</w:t>
      </w:r>
    </w:p>
    <w:p>
      <w:pPr>
        <w:spacing w:after="156" w:afterLines="50" w:line="360" w:lineRule="auto"/>
        <w:ind w:firstLine="482" w:firstLineChars="200"/>
        <w:outlineLvl w:val="0"/>
        <w:rPr>
          <w:rFonts w:hint="eastAsia" w:cs="宋体" w:asciiTheme="majorEastAsia" w:hAnsiTheme="majorEastAsia" w:eastAsiaTheme="majorEastAsia"/>
          <w:b/>
          <w:bCs/>
          <w:lang w:eastAsia="zh-CN"/>
        </w:rPr>
      </w:pPr>
      <w:bookmarkStart w:id="303" w:name="_Toc11630"/>
      <w:r>
        <w:rPr>
          <w:rFonts w:hint="eastAsia" w:cs="宋体" w:asciiTheme="majorEastAsia" w:hAnsiTheme="majorEastAsia" w:eastAsiaTheme="majorEastAsia"/>
          <w:b/>
          <w:bCs/>
        </w:rPr>
        <w:t>第十一章提示付款业务处理</w:t>
      </w:r>
      <w:bookmarkEnd w:id="303"/>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八十条票据权利人可在票据到期日前手动向付款行或付款人开户行发起提示付款申请，由付款行或付款人开户行在票交所系统做出同意或拒绝付款的应答。被拒绝付款的，票据权利人可在票据到期日前再次手动发起提示付款申请，或在票据到期后由票交所系统自动向付款行或付款人开户行发起提示付款申请。</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第八十一条票据到期日，票交所系统自动向付款行或付款人开户行发起提示付款申请。</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第八十二条未经付款确认的票据，付款行或付款人开户行应在提示付款当日进行应答。付款人开户行收到纸质商票的提示付款申请，应通知付款人并按照付款人的回复进行应答。</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（一）</w:t>
      </w:r>
      <w:r>
        <w:rPr>
          <w:rFonts w:hint="eastAsia" w:cs="宋体" w:asciiTheme="majorEastAsia" w:hAnsiTheme="majorEastAsia" w:eastAsiaTheme="majorEastAsia"/>
        </w:rPr>
        <w:tab/>
      </w:r>
      <w:r>
        <w:rPr>
          <w:rFonts w:hint="eastAsia" w:cs="宋体" w:asciiTheme="majorEastAsia" w:hAnsiTheme="majorEastAsia" w:eastAsiaTheme="majorEastAsia"/>
        </w:rPr>
        <w:t>做出同意付款应答的，由票交所系统自动将票据金额由其资金账户划付至票据权利人资金账户。</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（二）</w:t>
      </w:r>
      <w:r>
        <w:rPr>
          <w:rFonts w:hint="eastAsia" w:cs="宋体" w:asciiTheme="majorEastAsia" w:hAnsiTheme="majorEastAsia" w:eastAsiaTheme="majorEastAsia"/>
        </w:rPr>
        <w:tab/>
      </w:r>
      <w:r>
        <w:rPr>
          <w:rFonts w:hint="eastAsia" w:cs="宋体" w:asciiTheme="majorEastAsia" w:hAnsiTheme="majorEastAsia" w:eastAsiaTheme="majorEastAsia"/>
        </w:rPr>
        <w:t>做出拒绝付款应答的，应出具拒绝付款证明，并通过票交所系统通知票据权利人。</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（三）</w:t>
      </w:r>
      <w:r>
        <w:rPr>
          <w:rFonts w:hint="eastAsia" w:cs="宋体" w:asciiTheme="majorEastAsia" w:hAnsiTheme="majorEastAsia" w:eastAsiaTheme="majorEastAsia"/>
        </w:rPr>
        <w:tab/>
      </w:r>
      <w:r>
        <w:rPr>
          <w:rFonts w:hint="eastAsia" w:cs="宋体" w:asciiTheme="majorEastAsia" w:hAnsiTheme="majorEastAsia" w:eastAsiaTheme="majorEastAsia"/>
        </w:rPr>
        <w:t>未作应答的，视为拒绝付款，由票交所系统向票据权利人提供拒绝付款证明。</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八十三条已由付款行进行付款确认的纸质银票，如没有登记挂失止付、公示催告等止付信息，付款行无需对票交所系统自动发送的提示付款申请进行应答，由票交所系统自动将票据金额由付款行资金账户划付至票据权利人资金账户。</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八十四条已由付款人进行付款确认的纸质商票，或付款人未付款确认但在经提示付款后同意付款的纸质商票，如未登记挂失止付、公示催告等止付信息，付款人开户行应根据付款人账户余额情况对提示付款申请予以处理。（一）付款人账户余额足够支付票款的，付款人开户行应代付款人做出同意付款应答，并于提示付款日向票据权利人付款。</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（二）付款人账户余额不足以支付票款的，则视同付款人拒绝付款。付款人开户行应于提示付款日代付款人做出拒绝付款应答并说明理由，通过票交所系统通知票据权利人。</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第八十五条付款行或付款人开户行资金账户余额不足导致票交所系统扣划失败的，票交所系统自票据到期日的次一工作日起，每日继续扣划付款行或付款人开户行资金账户。</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第八十六条以下情况，票据权利人可在票据到期日后手动发起提示付款。</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（一）</w:t>
      </w:r>
      <w:r>
        <w:rPr>
          <w:rFonts w:hint="eastAsia" w:cs="宋体" w:asciiTheme="majorEastAsia" w:hAnsiTheme="majorEastAsia" w:eastAsiaTheme="majorEastAsia"/>
        </w:rPr>
        <w:tab/>
      </w:r>
      <w:r>
        <w:rPr>
          <w:rFonts w:hint="eastAsia" w:cs="宋体" w:asciiTheme="majorEastAsia" w:hAnsiTheme="majorEastAsia" w:eastAsiaTheme="majorEastAsia"/>
        </w:rPr>
        <w:t>票据到期当日付款行或付款人开户行对票交所系统自动发起的提示付款申请做出拒绝应答的，票据权利人可于当日手动再次向付款行或付款人开户行发起提示付款。</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（二）</w:t>
      </w:r>
      <w:r>
        <w:rPr>
          <w:rFonts w:hint="eastAsia" w:cs="宋体" w:asciiTheme="majorEastAsia" w:hAnsiTheme="majorEastAsia" w:eastAsiaTheme="majorEastAsia"/>
        </w:rPr>
        <w:tab/>
      </w:r>
      <w:r>
        <w:rPr>
          <w:rFonts w:hint="eastAsia" w:cs="宋体" w:asciiTheme="majorEastAsia" w:hAnsiTheme="majorEastAsia" w:eastAsiaTheme="majorEastAsia"/>
        </w:rPr>
        <w:t>付款行或付款人开户行资金账户余额不足导致票交所系统扣划失败，且自票据到期日的次一工作日起继续扣划但仍扣划失败的，票据权利人可自到期日的次一工作日起于扣划失败当日手动发起提示付款。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十七条票据经承兑保证人保证的，在付款行或付款人开户行于票据到期日同意付款但资金账户余额不足时，票交所系统自动向保证人发起提示付款并自动从保证人资金账户扣划资金。保证人资金扣划失败的，票交所系统自票据到期日的次一工作日起，每日继续按照付款行或付款人开户行、保证人的顺</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序逐个扣划其资金账户。</w:t>
      </w:r>
    </w:p>
    <w:p>
      <w:pPr>
        <w:spacing w:after="156" w:afterLines="50" w:line="360" w:lineRule="auto"/>
        <w:ind w:firstLine="482" w:firstLineChars="200"/>
        <w:outlineLvl w:val="0"/>
        <w:rPr>
          <w:rFonts w:hint="eastAsia" w:cs="宋体" w:asciiTheme="majorEastAsia" w:hAnsiTheme="majorEastAsia" w:eastAsiaTheme="majorEastAsia"/>
          <w:b/>
          <w:bCs/>
          <w:lang w:eastAsia="zh-CN"/>
        </w:rPr>
      </w:pPr>
      <w:bookmarkStart w:id="304" w:name="_Toc27737"/>
      <w:r>
        <w:rPr>
          <w:rFonts w:hint="eastAsia" w:cs="宋体" w:asciiTheme="majorEastAsia" w:hAnsiTheme="majorEastAsia" w:eastAsiaTheme="majorEastAsia"/>
          <w:b/>
          <w:bCs/>
        </w:rPr>
        <w:t>第十二章追偿业务处理</w:t>
      </w:r>
      <w:bookmarkEnd w:id="304"/>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第八十八条票据到期后被拒绝付款的，票据权利人可自票据到期日后的次一工作日起手动发起追偿。</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（一）</w:t>
      </w:r>
      <w:r>
        <w:rPr>
          <w:rFonts w:hint="eastAsia" w:cs="宋体" w:asciiTheme="majorEastAsia" w:hAnsiTheme="majorEastAsia" w:eastAsiaTheme="majorEastAsia"/>
        </w:rPr>
        <w:tab/>
      </w:r>
      <w:r>
        <w:rPr>
          <w:rFonts w:hint="eastAsia" w:cs="宋体" w:asciiTheme="majorEastAsia" w:hAnsiTheme="majorEastAsia" w:eastAsiaTheme="majorEastAsia"/>
        </w:rPr>
        <w:t>票据权利人手动发起追偿后，票交所系统自动按照保证增信行（若有）、贴现机构、贴现保证人（若有）的顺序逐个进行追偿。</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（二）</w:t>
      </w:r>
      <w:r>
        <w:rPr>
          <w:rFonts w:hint="eastAsia" w:cs="宋体" w:asciiTheme="majorEastAsia" w:hAnsiTheme="majorEastAsia" w:eastAsiaTheme="majorEastAsia"/>
        </w:rPr>
        <w:tab/>
      </w:r>
      <w:r>
        <w:rPr>
          <w:rFonts w:hint="eastAsia" w:cs="宋体" w:asciiTheme="majorEastAsia" w:hAnsiTheme="majorEastAsia" w:eastAsiaTheme="majorEastAsia"/>
        </w:rPr>
        <w:t>保证增信行、贴现保证人被追偿并清偿债务后，可手动向贴现机构发起再追偿。</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（三）</w:t>
      </w:r>
      <w:r>
        <w:rPr>
          <w:rFonts w:hint="eastAsia" w:cs="宋体" w:asciiTheme="majorEastAsia" w:hAnsiTheme="majorEastAsia" w:eastAsiaTheme="majorEastAsia"/>
        </w:rPr>
        <w:tab/>
      </w:r>
      <w:r>
        <w:rPr>
          <w:rFonts w:hint="eastAsia" w:cs="宋体" w:asciiTheme="majorEastAsia" w:hAnsiTheme="majorEastAsia" w:eastAsiaTheme="majorEastAsia"/>
        </w:rPr>
        <w:t>贴现机构被追偿并清偿债务后，可在线下向其前手进行再追偿。</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第八十九条付款行或付款人开户行资金账户余额不足导致票交所系统扣划失败，自票据到期日的次一工作日起票据权利人可在票交所系统手动发起追偿。</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（一）</w:t>
      </w:r>
      <w:r>
        <w:rPr>
          <w:rFonts w:hint="eastAsia" w:cs="宋体" w:asciiTheme="majorEastAsia" w:hAnsiTheme="majorEastAsia" w:eastAsiaTheme="majorEastAsia"/>
        </w:rPr>
        <w:tab/>
      </w:r>
      <w:r>
        <w:rPr>
          <w:rFonts w:hint="eastAsia" w:cs="宋体" w:asciiTheme="majorEastAsia" w:hAnsiTheme="majorEastAsia" w:eastAsiaTheme="majorEastAsia"/>
        </w:rPr>
        <w:t>票据权利人手动发起追偿后，票交所系统自动按照保证增信行（若有）、贴现机构、贴现保证人（若有）的顺序逐个进行追偿。</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（二）</w:t>
      </w:r>
      <w:r>
        <w:rPr>
          <w:rFonts w:hint="eastAsia" w:cs="宋体" w:asciiTheme="majorEastAsia" w:hAnsiTheme="majorEastAsia" w:eastAsiaTheme="majorEastAsia"/>
        </w:rPr>
        <w:tab/>
      </w:r>
      <w:r>
        <w:rPr>
          <w:rFonts w:hint="eastAsia" w:cs="宋体" w:asciiTheme="majorEastAsia" w:hAnsiTheme="majorEastAsia" w:eastAsiaTheme="majorEastAsia"/>
        </w:rPr>
        <w:t>保证增信行、贴现保证人被追偿并清偿债务后，可手动发起再追偿，票交所系统自动按照付款行（或付款人开户行）、承兑保证人（若有）、贴现机构的顺序逐个进行追偿。</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（三）</w:t>
      </w:r>
      <w:r>
        <w:rPr>
          <w:rFonts w:hint="eastAsia" w:cs="宋体" w:asciiTheme="majorEastAsia" w:hAnsiTheme="majorEastAsia" w:eastAsiaTheme="majorEastAsia"/>
        </w:rPr>
        <w:tab/>
      </w:r>
      <w:r>
        <w:rPr>
          <w:rFonts w:hint="eastAsia" w:cs="宋体" w:asciiTheme="majorEastAsia" w:hAnsiTheme="majorEastAsia" w:eastAsiaTheme="majorEastAsia"/>
        </w:rPr>
        <w:t>贴现机构被追偿并清偿债务后，可通过票交所系统向付款行或付款人开户行进行再追偿，或在线下向其前手进行再追偿。</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第九十条票据权利人在票交所系统发起追偿，如未获得偿付，可于次一工作日在票交所系统再次发起追偿，票交所系统仍将自动按照保证增信行（若有）、贴现机构、贴现保证人（若有）的顺序逐个进行追偿。</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第九十一条发起追偿后，被追偿机构无需在票交所系统进行应答，票交所系统自动将票据金额由被追偿机构的资金账户划付至追偿机构的资金账户。</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第九十二条贴现机构因票据到期未偿付而被追偿的，在履行债务后，于票交所系统外向其前手进行线下再追偿并获得付款后，应在票交所系统登记线下追偿信息。</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线下追偿登记信息包括：登记日期、票据号码、票据类别、票据金额、票据到期日、付款日期、追偿人名称、被追偿人名称。</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第九十三条线下追偿登记的办理</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（一）</w:t>
      </w:r>
      <w:r>
        <w:rPr>
          <w:rFonts w:hint="eastAsia" w:cs="宋体" w:asciiTheme="majorEastAsia" w:hAnsiTheme="majorEastAsia" w:eastAsiaTheme="majorEastAsia"/>
        </w:rPr>
        <w:tab/>
      </w:r>
      <w:r>
        <w:rPr>
          <w:rFonts w:hint="eastAsia" w:cs="宋体" w:asciiTheme="majorEastAsia" w:hAnsiTheme="majorEastAsia" w:eastAsiaTheme="majorEastAsia"/>
        </w:rPr>
        <w:t>录入追偿信息。贴现机构经办人员在票交所系统选择新增线下追偿信息，录入登记日期、票据号码等信息后，提交复核人员复核。</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（二）</w:t>
      </w:r>
      <w:r>
        <w:rPr>
          <w:rFonts w:hint="eastAsia" w:cs="宋体" w:asciiTheme="majorEastAsia" w:hAnsiTheme="majorEastAsia" w:eastAsiaTheme="majorEastAsia"/>
        </w:rPr>
        <w:tab/>
      </w:r>
      <w:r>
        <w:rPr>
          <w:rFonts w:hint="eastAsia" w:cs="宋体" w:asciiTheme="majorEastAsia" w:hAnsiTheme="majorEastAsia" w:eastAsiaTheme="majorEastAsia"/>
        </w:rPr>
        <w:t>追偿信息复核。贴现机构复核人员对经办人员录入的信息逐一核对。核对有误的，复核人员应终止业务流程，由经办人员重新录入后提交；核对无误的，确认复核通过，完成线下追偿信息登记。</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第九十四条贴现机构直接向付款行或付款人再追偿并获得付款的，不需登记线下追偿信息，由付款行或付款人开户行登记追偿结清信息。</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第九十五条纸质银票的付款行因票据到期未偿付而被追偿的，在其履行债务后，付款行应在票交所系统登记追偿结清信息。纸质商票的付款人应委托其开户行在其履行债务后办理追偿结清登记。</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追偿结清登记信息包括：登记日期、票据号码、票据类别、票据金额、票据到期日、付款日期、追偿人名称、被追偿人名称。</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第九十六条追偿结清登记的办理</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（一）</w:t>
      </w:r>
      <w:r>
        <w:rPr>
          <w:rFonts w:hint="eastAsia" w:cs="宋体" w:asciiTheme="majorEastAsia" w:hAnsiTheme="majorEastAsia" w:eastAsiaTheme="majorEastAsia"/>
        </w:rPr>
        <w:tab/>
      </w:r>
      <w:r>
        <w:rPr>
          <w:rFonts w:hint="eastAsia" w:cs="宋体" w:asciiTheme="majorEastAsia" w:hAnsiTheme="majorEastAsia" w:eastAsiaTheme="majorEastAsia"/>
        </w:rPr>
        <w:t>录入结清信息。付款行或付款人开户行经办人员在票交所系统选择新增追偿结清信息，录入登记日期、票据号码等信息后，提交复核人员复核。</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（二）</w:t>
      </w:r>
      <w:r>
        <w:rPr>
          <w:rFonts w:hint="eastAsia" w:cs="宋体" w:asciiTheme="majorEastAsia" w:hAnsiTheme="majorEastAsia" w:eastAsiaTheme="majorEastAsia"/>
        </w:rPr>
        <w:tab/>
      </w:r>
      <w:r>
        <w:rPr>
          <w:rFonts w:hint="eastAsia" w:cs="宋体" w:asciiTheme="majorEastAsia" w:hAnsiTheme="majorEastAsia" w:eastAsiaTheme="majorEastAsia"/>
        </w:rPr>
        <w:t>结清信息复核。付款行或付款人开户行复核人员对经办人员录入的信息逐一核对。核对有误的，复核人员应终止业务流程，由经办人员重新录入信息后提交；核对无误的，确认复核通过，完成追偿结清信息登记。</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第九十七条完成线下追偿登记、追偿结清登记后，登记机构可在票交所系统查询已登记的信息，但不得撤回或修改已登记的信息。</w:t>
      </w:r>
    </w:p>
    <w:p>
      <w:pPr>
        <w:spacing w:after="156" w:afterLines="50" w:line="360" w:lineRule="auto"/>
        <w:ind w:firstLine="482" w:firstLineChars="200"/>
        <w:outlineLvl w:val="0"/>
        <w:rPr>
          <w:rFonts w:hint="eastAsia" w:cs="宋体" w:asciiTheme="majorEastAsia" w:hAnsiTheme="majorEastAsia" w:eastAsiaTheme="majorEastAsia"/>
          <w:lang w:eastAsia="zh-CN"/>
        </w:rPr>
      </w:pPr>
      <w:bookmarkStart w:id="305" w:name="_Toc16354"/>
      <w:r>
        <w:rPr>
          <w:rFonts w:hint="eastAsia" w:cs="宋体" w:asciiTheme="majorEastAsia" w:hAnsiTheme="majorEastAsia" w:eastAsiaTheme="majorEastAsia"/>
          <w:b/>
          <w:bCs/>
        </w:rPr>
        <w:t>第十三章结清信息登记</w:t>
      </w:r>
      <w:bookmarkEnd w:id="305"/>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第九十八条未在票交所系统进行贴现信息登记的票据，付款行或付款人收到提示付款并支付票款后，付款行或付款人开户行应在票交所系统进行结清信息登记。</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第九十九条结清信息登记要素包括：登记日期、票据号码、票据类别、票据金额、票据到期日、付款日期、最后一手持票人名称和账号、托收行行号、托收行名称。</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第一百条结清信息登记经办人员可在结清信息登记当日撤回提交生效的结清信息。</w:t>
      </w:r>
    </w:p>
    <w:p>
      <w:pPr>
        <w:spacing w:after="156" w:afterLines="50" w:line="360" w:lineRule="auto"/>
        <w:ind w:firstLine="482" w:firstLineChars="200"/>
        <w:outlineLvl w:val="0"/>
        <w:rPr>
          <w:rFonts w:hint="eastAsia" w:cs="宋体" w:asciiTheme="majorEastAsia" w:hAnsiTheme="majorEastAsia" w:eastAsiaTheme="majorEastAsia"/>
          <w:lang w:eastAsia="zh-CN"/>
        </w:rPr>
      </w:pPr>
      <w:bookmarkStart w:id="306" w:name="_Toc12122"/>
      <w:r>
        <w:rPr>
          <w:rFonts w:hint="eastAsia" w:cs="宋体" w:asciiTheme="majorEastAsia" w:hAnsiTheme="majorEastAsia" w:eastAsiaTheme="majorEastAsia"/>
          <w:b/>
          <w:bCs/>
        </w:rPr>
        <w:t>第十四章止付信息登记</w:t>
      </w:r>
      <w:bookmarkEnd w:id="306"/>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第一百零一条付款行或付款人开户行于票据到期前收到止付通知，应于当日在票交所系统进行止付信息登记。</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第一百零二条付款行或付款人开户行经办人员进行止付信息登记时，应严格核对止付通知、票交所系统登记信息、票据实物（若有）各项要素的一致性。</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第一百零三条止付信息登记要素包括：票据标识信息、止付日期、止付类型、止付原因。</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付款行或付款人开户行经办人员应同时将挂失止付通知书、协助司法冻结票据的相关法律文书等作为止付信息影像文件上传至票交所系统。</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第一百零四条止付信息登记的止付类型包括挂失止付、公示催告和司法冻结。</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（一）</w:t>
      </w:r>
      <w:r>
        <w:rPr>
          <w:rFonts w:hint="eastAsia" w:cs="宋体" w:asciiTheme="majorEastAsia" w:hAnsiTheme="majorEastAsia" w:eastAsiaTheme="majorEastAsia"/>
        </w:rPr>
        <w:tab/>
      </w:r>
      <w:r>
        <w:rPr>
          <w:rFonts w:hint="eastAsia" w:cs="宋体" w:asciiTheme="majorEastAsia" w:hAnsiTheme="majorEastAsia" w:eastAsiaTheme="majorEastAsia"/>
        </w:rPr>
        <w:t>付款行或付款人开户行收到失票人的挂失止付通知书，应登记止付类型为挂失止付；</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（二）</w:t>
      </w:r>
      <w:r>
        <w:rPr>
          <w:rFonts w:hint="eastAsia" w:cs="宋体" w:asciiTheme="majorEastAsia" w:hAnsiTheme="majorEastAsia" w:eastAsiaTheme="majorEastAsia"/>
        </w:rPr>
        <w:tab/>
      </w:r>
      <w:r>
        <w:rPr>
          <w:rFonts w:hint="eastAsia" w:cs="宋体" w:asciiTheme="majorEastAsia" w:hAnsiTheme="majorEastAsia" w:eastAsiaTheme="majorEastAsia"/>
        </w:rPr>
        <w:t>付款行或付款人开户行收到人民法院停止支付通知书，应登记止付类型为公示催告；</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（三）</w:t>
      </w:r>
      <w:r>
        <w:rPr>
          <w:rFonts w:hint="eastAsia" w:cs="宋体" w:asciiTheme="majorEastAsia" w:hAnsiTheme="majorEastAsia" w:eastAsiaTheme="majorEastAsia"/>
        </w:rPr>
        <w:tab/>
      </w:r>
      <w:r>
        <w:rPr>
          <w:rFonts w:hint="eastAsia" w:cs="宋体" w:asciiTheme="majorEastAsia" w:hAnsiTheme="majorEastAsia" w:eastAsiaTheme="majorEastAsia"/>
        </w:rPr>
        <w:t>付款行或付款人开户行收到司法冻结的相关法律文书，应登记止付类型为司法冻结。</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第一百零五条登记为挂失止付的票据，可在止付信息未解除的情况下再次登记为公示催告。</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登记为挂失止付之外其他止付类型的票据，如止付信息未解除，不可再进行止付信息登记。</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第一百零六条止付信息登记完成后，票交所系统自动校验票据是否已办理承兑信息登记以外的信息登记，并将止付通知发送该票据的票据权利人、贴现机构、票据保管机构、质权人、保证人等相关当事人。</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第一百零七条已在票交所系统进行止付信息登记、且未作解除止付登记的票据，不得办理除提示付款和追偿外的其他票据业务。已登记为公示催告且未解除的票据不得办理追偿。</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第一百零八条付款行或付款人开户行在收到解除止付的相应通知后，应于当日在票交所系统进行解除止付登记。</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第一百零九条付款行或付款人开户行经办人员进行解除止付登记时，应严格核对解除止付通知、票交所系统登记信息、票据实物（若有）各项要素的一致性。</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第一百一十条解除止付登记要素包括：解除止付日期、解除止付类型、解除止付原因。</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付款行或付款人开户行经办人员应同时将解除司法冻结、终止公示催告、除权判决的相关法律文书等作为解除止付登记的影像文件上传至票交所系统。</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第一百一十一条解除止付类型包括：挂失止付到期、除权判决、公示催告解除、解除司法冻结。</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（一）</w:t>
      </w:r>
      <w:r>
        <w:rPr>
          <w:rFonts w:hint="eastAsia" w:cs="宋体" w:asciiTheme="majorEastAsia" w:hAnsiTheme="majorEastAsia" w:eastAsiaTheme="majorEastAsia"/>
        </w:rPr>
        <w:tab/>
      </w:r>
      <w:r>
        <w:rPr>
          <w:rFonts w:hint="eastAsia" w:cs="宋体" w:asciiTheme="majorEastAsia" w:hAnsiTheme="majorEastAsia" w:eastAsiaTheme="majorEastAsia"/>
        </w:rPr>
        <w:t>原登记的止付类型为挂失止付的，挂失止付到期应登记解除止付类型为挂失止付到期，登记后的票据可在票交所系统正常开展后续业务。</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（二）</w:t>
      </w:r>
      <w:r>
        <w:rPr>
          <w:rFonts w:hint="eastAsia" w:cs="宋体" w:asciiTheme="majorEastAsia" w:hAnsiTheme="majorEastAsia" w:eastAsiaTheme="majorEastAsia"/>
        </w:rPr>
        <w:tab/>
      </w:r>
      <w:r>
        <w:rPr>
          <w:rFonts w:hint="eastAsia" w:cs="宋体" w:asciiTheme="majorEastAsia" w:hAnsiTheme="majorEastAsia" w:eastAsiaTheme="majorEastAsia"/>
        </w:rPr>
        <w:t>原登记的止付类型为公示催告，收到人民法院除权判决公告的，应登记解除止付类型为除权判决，票交所系统对登记后的票据进行作废处理。</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（三）</w:t>
      </w:r>
      <w:r>
        <w:rPr>
          <w:rFonts w:hint="eastAsia" w:cs="宋体" w:asciiTheme="majorEastAsia" w:hAnsiTheme="majorEastAsia" w:eastAsiaTheme="majorEastAsia"/>
        </w:rPr>
        <w:tab/>
      </w:r>
      <w:r>
        <w:rPr>
          <w:rFonts w:hint="eastAsia" w:cs="宋体" w:asciiTheme="majorEastAsia" w:hAnsiTheme="majorEastAsia" w:eastAsiaTheme="majorEastAsia"/>
        </w:rPr>
        <w:t>原登记的止付类型为公示催告，收到人民法院公示催告终止裁定书的，应登记解除止付类型为公示催告解除，登记后的票据可在票交所系统正常开展后续业务。</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（四）</w:t>
      </w:r>
      <w:r>
        <w:rPr>
          <w:rFonts w:hint="eastAsia" w:cs="宋体" w:asciiTheme="majorEastAsia" w:hAnsiTheme="majorEastAsia" w:eastAsiaTheme="majorEastAsia"/>
        </w:rPr>
        <w:tab/>
      </w:r>
      <w:r>
        <w:rPr>
          <w:rFonts w:hint="eastAsia" w:cs="宋体" w:asciiTheme="majorEastAsia" w:hAnsiTheme="majorEastAsia" w:eastAsiaTheme="majorEastAsia"/>
        </w:rPr>
        <w:t>原登记的止付类型为司法冻结，收到解除司法冻结的相关法律文书的，应登记解除止付类型为解除司法冻结，登记后的票据可在票交所系统正常开展后续业务。</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第一百一十二条系统参与者可在票交所系统实时查询本机构作为票据权利人的票据止付登记状态，或查询前一日在票交所系统登记止付信息的所有票据。</w:t>
      </w:r>
    </w:p>
    <w:p>
      <w:pPr>
        <w:spacing w:after="156" w:afterLines="50" w:line="360" w:lineRule="auto"/>
        <w:ind w:firstLine="482" w:firstLineChars="200"/>
        <w:outlineLvl w:val="0"/>
        <w:rPr>
          <w:rFonts w:hint="eastAsia" w:cs="宋体" w:asciiTheme="majorEastAsia" w:hAnsiTheme="majorEastAsia" w:eastAsiaTheme="majorEastAsia"/>
          <w:lang w:eastAsia="zh-CN"/>
        </w:rPr>
      </w:pPr>
      <w:bookmarkStart w:id="307" w:name="_Toc4586"/>
      <w:r>
        <w:rPr>
          <w:rFonts w:hint="eastAsia" w:cs="宋体" w:asciiTheme="majorEastAsia" w:hAnsiTheme="majorEastAsia" w:eastAsiaTheme="majorEastAsia"/>
          <w:b/>
          <w:bCs/>
        </w:rPr>
        <w:t>第十五章实物保管与交接</w:t>
      </w:r>
      <w:bookmarkEnd w:id="307"/>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第一百一十三条票据实物应比照有价单证进行库存管理。票据保管机构应严格执行库房布防要求，设立必要的物理条件用于保管票据实物，实现对票据实物的全程监控管理。</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第一百一十四条票据保管机构需指定双人作为票据保管员负责票据实物库房的日间管理。票据保管员应在监控摄像范围内办理票据实物的出入库、交接等业务操作。</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第一百一十五条票据保管机构应加强票据实物保管和库房出入的管理和检查，对票据实物实行定期或不定期查库，做到票据实物、会计账务与票交所系统台账相符，并留有相关检查核对记录。</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一百一十六条办理库存移库、保证增信、实物确认业务时，应采取双人送（取）票或其他安全的方式移送票据实物。票据实物的移入或移出办理机构应根据票交所系统中的库存移入或移出票据清单，做好票据实物的出入库。</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一百一十七条采取双人送（取）票的方式移送票据实物时，送（取）票经办人员应出具有效的介绍信（或授权书）和经办人员身份证（身份证需通过“联网核查公民身份信息系统”核查），受理机构应核对经办人员身份，留存介绍信（或授权书）和身份证复印件。票据实物的移入或移出办理机构应与交接方在监控下办理票据交接手续，当面根据票据明细清单逐笔勾对票据。</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一百一十八条采取邮寄等方式移送票据实物时，应谨慎选择有资质的邮递、物流公司等第三方机构，确保移送过程中票据实物的安全。票据保管机构应妥善建立与第三方机构的票据实物交接制度，在办理邮寄寄出时与第三方机构的经办人员做好身份核验、邮寄交接等手续，邮寄的封包直至邮寄交接的过程均应在票据保管机构的营业场所监控范围内完成。</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一百一十九条票据实物的库存移出机构，应首先在票交所系统发起库存移出申请，才可办理票据实物的移送。票据实物的库存移入机构，应在收妥票据实物后，及时根据核对及审验结果在票交所系统对移库申请进行确认或退回处理。</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第一百二十条票据实物的库存移出、移入机构应按照会计档案管理的要求妥善保管移库、实物交接等库存管理相关资料。</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第一百二十一条双人送（取）票的过程中应坚持“人不离票、双人同行”的原则，注意做好行程信息的保密工作，提高警惕，关注周围环境，确保人员及票据安全。</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第一百二十二条因票据保管机构保管不善或其他原因造成票据遗失、损毁的，票据保管机构应在发现后通知票据权利人等相关各方，并配合票据权利人办理公示催告等相关事宜。</w:t>
      </w:r>
    </w:p>
    <w:p>
      <w:pPr>
        <w:spacing w:after="156" w:afterLines="50" w:line="360" w:lineRule="auto"/>
        <w:ind w:firstLine="482" w:firstLineChars="200"/>
        <w:outlineLvl w:val="0"/>
        <w:rPr>
          <w:rFonts w:hint="eastAsia" w:cs="宋体" w:asciiTheme="majorEastAsia" w:hAnsiTheme="majorEastAsia" w:eastAsiaTheme="majorEastAsia"/>
          <w:b/>
          <w:bCs/>
          <w:lang w:eastAsia="zh-CN"/>
        </w:rPr>
      </w:pPr>
      <w:bookmarkStart w:id="308" w:name="_Toc18878"/>
      <w:r>
        <w:rPr>
          <w:rFonts w:hint="eastAsia" w:cs="宋体" w:asciiTheme="majorEastAsia" w:hAnsiTheme="majorEastAsia" w:eastAsiaTheme="majorEastAsia"/>
          <w:b/>
          <w:bCs/>
        </w:rPr>
        <w:t>第十六章异常情况处理</w:t>
      </w:r>
      <w:bookmarkEnd w:id="308"/>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第一百二十三条在票交所系统中登记的票据权利人申请公示催告，应先向票交所提交《票据权利证明申请表》（见附件1）。票交所审核后，协助提供其作为票据权利人的相关证明文件。</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公示催告票据经法院除权判决的，付款行或付款人开户行根据判决结果在票交所系统进行除权判决登记，票据权利人持除权判决书向付款行或付款人请求付款。</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一百二十四条票据发生公示催告等法律纠纷需提取票据实物时，票交所系统中登记的票据权利人应先向票交所提交《票据权利证明申请表》（见附件1）。票交所审核后，协助提供其作为票据权利人的相关证明文件，并要求票据保管机构提供票据实物。票据保管机构应予配合。</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票据保管机构应委派相关人员陪同票据权利人申报票据权利，确保票据实物安全。在纠纷解决后，票据权利人与票据保管机构人员应及时携带票据实物返回原票据保管机构，将票据实物入库保管。</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第一百二十五条信息登记机构向票交所场务申请纸票相关场务服务，需填写《票据信息变更登记申请表》（见附件2）并提供相关文件，加盖预留印鉴后，通过指定传真或邮箱发送至票交所。</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第一百二十六条已登记承兑信息并已在票交所系统中办理质押信息登记、贴现信息登记等其他业务的未到期票据，因承兑信息登记错误，信息登记机构应向票交所场务申请登记信息变更。</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其中，票据关键信息有误的，信息登记机构应申请登记信息作废；票据关键信息以外的票据票面信息有误的，信息登记机构应申请登记信息修改。</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第一百二十七条票交所收到票据登记信息作废申请，在审核无误后，根据情况做如下处理：</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（一）</w:t>
      </w:r>
      <w:r>
        <w:rPr>
          <w:rFonts w:hint="eastAsia" w:cs="宋体" w:asciiTheme="majorEastAsia" w:hAnsiTheme="majorEastAsia" w:eastAsiaTheme="majorEastAsia"/>
        </w:rPr>
        <w:tab/>
      </w:r>
      <w:r>
        <w:rPr>
          <w:rFonts w:hint="eastAsia" w:cs="宋体" w:asciiTheme="majorEastAsia" w:hAnsiTheme="majorEastAsia" w:eastAsiaTheme="majorEastAsia"/>
        </w:rPr>
        <w:t>票据为纸质商票或未经付款确认的纸质银票</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通知保证增信机构或贴现机构。由保证增信机构或贴现机构在收到票交所通知之日起三个工作日内，以在票交所系统登记的票据金额向票据权利人进行赔偿。赔偿完成后，由票交所场务将票据登记信息作废。保证增信行或贴现机构可与承兑信息登记机构协商确定具体赔偿责任等相关事宜。</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（二）</w:t>
      </w:r>
      <w:r>
        <w:rPr>
          <w:rFonts w:hint="eastAsia" w:cs="宋体" w:asciiTheme="majorEastAsia" w:hAnsiTheme="majorEastAsia" w:eastAsiaTheme="majorEastAsia"/>
        </w:rPr>
        <w:tab/>
      </w:r>
      <w:r>
        <w:rPr>
          <w:rFonts w:hint="eastAsia" w:cs="宋体" w:asciiTheme="majorEastAsia" w:hAnsiTheme="majorEastAsia" w:eastAsiaTheme="majorEastAsia"/>
        </w:rPr>
        <w:t>票据为已经付款确认的纸质银票</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通知付款行、保证增信机构或贴现机构。由付款行在收到票交所通知之日起三个工作日内，以在票交所系统登记的票据金额向票据权利人进行赔偿。赔偿完成后，由票交所场务将票据登记信息作废。付款行无力赔偿的，由保证增信机构或贴现机构就不足部分承担赔偿责任。</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一百二十八条已在票交所系统办理质押信息登记、质押解除登记、贴现信息登记、保证信息登记的票据，登记的次一工作日起若该票据未在票交所系统中办理其他业务，信息登记机构可向票交所场务申请票据登记信息撤回。</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一百二十九条由于票交所系统客户端或通讯线路发生故障等特殊情况，各机构无法在票交所系统完成质押解除登记、止付信息登记或提示付款、追偿业务处理，需按照《上海票据交易所应急服务规则》规定，向票交所场务申请进行票据应急登记或应急处理。</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第一百三十条承兑信息登记时，票交所系统校验发现存在重号导致无法登记的，登记机构需与原错误信息登记机构协商，由原错误信息登记机构删除或向票交所场务申请删除该错误信息。</w:t>
      </w:r>
    </w:p>
    <w:p>
      <w:pPr>
        <w:spacing w:after="156" w:afterLines="50" w:line="360" w:lineRule="auto"/>
        <w:ind w:firstLine="482" w:firstLineChars="200"/>
        <w:outlineLvl w:val="0"/>
        <w:rPr>
          <w:rFonts w:hint="eastAsia" w:cs="宋体" w:asciiTheme="majorEastAsia" w:hAnsiTheme="majorEastAsia" w:eastAsiaTheme="majorEastAsia"/>
          <w:b/>
          <w:bCs/>
          <w:lang w:eastAsia="zh-CN"/>
        </w:rPr>
      </w:pPr>
      <w:bookmarkStart w:id="309" w:name="_Toc27753"/>
      <w:r>
        <w:rPr>
          <w:rFonts w:hint="eastAsia" w:cs="宋体" w:asciiTheme="majorEastAsia" w:hAnsiTheme="majorEastAsia" w:eastAsiaTheme="majorEastAsia"/>
          <w:b/>
          <w:bCs/>
        </w:rPr>
        <w:t>第十七章附则</w:t>
      </w:r>
      <w:bookmarkEnd w:id="309"/>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第一百三十一条本规程由票交所负责解释，自发布之日起实施。</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p>
    <w:p>
      <w:pPr>
        <w:pStyle w:val="2"/>
        <w:numPr>
          <w:ilvl w:val="0"/>
          <w:numId w:val="0"/>
        </w:numPr>
        <w:ind w:left="922" w:leftChars="0" w:hanging="440" w:firstLineChars="0"/>
      </w:pPr>
      <w:bookmarkStart w:id="310" w:name="_Toc11230"/>
      <w:r>
        <w:rPr>
          <w:rFonts w:cs="宋体" w:asciiTheme="majorEastAsia" w:hAnsiTheme="majorEastAsia" w:eastAsiaTheme="majorEastAsia"/>
          <w:b/>
          <w:bCs/>
          <w:sz w:val="24"/>
          <w:szCs w:val="24"/>
          <w:lang w:val="en-US" w:eastAsia="zh-CN" w:bidi="ar-SA"/>
        </w:rPr>
        <w:t>90.</w:t>
      </w:r>
      <w:r>
        <w:rPr>
          <w:rFonts w:hint="eastAsia"/>
        </w:rPr>
        <w:t>《上海票据交易所票据交易规则》</w:t>
      </w:r>
      <w:bookmarkEnd w:id="310"/>
      <w:r>
        <w:rPr>
          <w:rFonts w:hint="eastAsia"/>
        </w:rPr>
        <w:tab/>
      </w:r>
    </w:p>
    <w:p>
      <w:pPr>
        <w:spacing w:after="156" w:afterLines="50" w:line="360" w:lineRule="auto"/>
        <w:ind w:firstLine="480" w:firstLineChars="200"/>
        <w:outlineLvl w:val="0"/>
        <w:rPr>
          <w:rFonts w:cs="宋体" w:asciiTheme="majorEastAsia" w:hAnsiTheme="majorEastAsia" w:eastAsiaTheme="majorEastAsia"/>
        </w:rPr>
      </w:pPr>
      <w:bookmarkStart w:id="311" w:name="_Toc9550"/>
      <w:r>
        <w:rPr>
          <w:rFonts w:hint="eastAsia" w:cs="宋体" w:asciiTheme="majorEastAsia" w:hAnsiTheme="majorEastAsia" w:eastAsiaTheme="majorEastAsia"/>
        </w:rPr>
        <w:t>发文机构：上海票据交易所</w:t>
      </w:r>
      <w:r>
        <w:rPr>
          <w:rFonts w:hint="eastAsia" w:cs="宋体" w:asciiTheme="majorEastAsia" w:hAnsiTheme="majorEastAsia" w:eastAsiaTheme="majorEastAsia"/>
        </w:rPr>
        <w:tab/>
      </w:r>
      <w:r>
        <w:rPr>
          <w:rFonts w:hint="eastAsia" w:cs="宋体" w:asciiTheme="majorEastAsia" w:hAnsiTheme="majorEastAsia" w:eastAsiaTheme="majorEastAsia"/>
        </w:rPr>
        <w:t>文号：票交所发〔2017〕6号</w:t>
      </w:r>
      <w:bookmarkEnd w:id="311"/>
    </w:p>
    <w:p>
      <w:pPr>
        <w:spacing w:after="156" w:afterLines="50" w:line="360" w:lineRule="auto"/>
        <w:ind w:firstLine="482" w:firstLineChars="200"/>
        <w:outlineLvl w:val="0"/>
        <w:rPr>
          <w:rFonts w:cs="宋体" w:asciiTheme="majorEastAsia" w:hAnsiTheme="majorEastAsia" w:eastAsiaTheme="majorEastAsia"/>
          <w:b/>
          <w:bCs/>
        </w:rPr>
      </w:pPr>
      <w:bookmarkStart w:id="312" w:name="_Toc18180"/>
      <w:r>
        <w:rPr>
          <w:rFonts w:hint="eastAsia" w:cs="宋体" w:asciiTheme="majorEastAsia" w:hAnsiTheme="majorEastAsia" w:eastAsiaTheme="majorEastAsia"/>
          <w:b/>
          <w:bCs/>
        </w:rPr>
        <w:t>第一章总则</w:t>
      </w:r>
      <w:bookmarkEnd w:id="31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1.1为规范票据交易行为，防范交易风险，提高交易效率，维护交易各方合法权益，依据《中华人民共和国票据法》、《票据交易管理办法》等法规制度，制定本规则。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1.2市场参与者通过上海票据交易所的中国票据交易系统进行的票据交易适用本规则。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1.3本规则所称票据包括但不限于纸质或电子形式的银行承兑汇票、商业承兑汇票等可交易票据。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1.4本规则所称票据交易包括票据转贴现、票据质押式回购和票据买断式回购等。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1.5上海票据交易所（以下简称票交所）是中国人民银行指定的提供票据交易、登记托管、清算结算和信息服务的机构。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1.6市场参与者开展票据交易应当遵循公平自愿、诚信自律、风险自担的原则，不得以任何形式操纵市场价格，扰乱市场秩序。</w:t>
      </w:r>
    </w:p>
    <w:p>
      <w:pPr>
        <w:spacing w:after="156" w:afterLines="50" w:line="360" w:lineRule="auto"/>
        <w:ind w:firstLine="482" w:firstLineChars="200"/>
        <w:outlineLvl w:val="0"/>
        <w:rPr>
          <w:rFonts w:cs="宋体" w:asciiTheme="majorEastAsia" w:hAnsiTheme="majorEastAsia" w:eastAsiaTheme="majorEastAsia"/>
          <w:b/>
          <w:bCs/>
        </w:rPr>
      </w:pPr>
      <w:bookmarkStart w:id="313" w:name="_Toc22406"/>
      <w:r>
        <w:rPr>
          <w:rFonts w:hint="eastAsia" w:cs="宋体" w:asciiTheme="majorEastAsia" w:hAnsiTheme="majorEastAsia" w:eastAsiaTheme="majorEastAsia"/>
          <w:b/>
          <w:bCs/>
        </w:rPr>
        <w:t>第二章定义与基本规则</w:t>
      </w:r>
      <w:bookmarkEnd w:id="31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2.1中国票据交易系统与核心交易子系统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2.1.1中国票据交易系统（以下简称票交所系统）是指由票交所建设并管理的，依托网络和计算机技术，向交易成员提供询价、报价、成交及登记、托管、清算、无纸化托收等服务的计算机业务处理系统和数据通讯网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2.1.2交易成员通过票交所系统的核心交易子系统（以下简称交易系统）进行票据交易。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2.2系统参与者与交易成员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w:t>
      </w:r>
      <w:r>
        <w:rPr>
          <w:rFonts w:hint="eastAsia" w:cs="宋体" w:asciiTheme="majorEastAsia" w:hAnsiTheme="majorEastAsia" w:eastAsiaTheme="majorEastAsia"/>
        </w:rPr>
        <w:tab/>
      </w:r>
      <w:r>
        <w:rPr>
          <w:rFonts w:hint="eastAsia" w:cs="宋体" w:asciiTheme="majorEastAsia" w:hAnsiTheme="majorEastAsia" w:eastAsiaTheme="majorEastAsia"/>
        </w:rPr>
        <w:t>2.1系统参与者是指获准参与票交所系统的法人机构及其授权分支机构和非法人产品等。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2.2.2交易成员是指具有票据交易权限的系统参与者。</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2.2.3交易成员应当与票交所系统联网，并依照票交所有关规定在票交所系统开立独立的交易账户和票据托管账户。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2.2.4交易成员在交易系统中的所有操作以交易系统数据库记录为准。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2.3</w:t>
      </w:r>
      <w:r>
        <w:rPr>
          <w:rFonts w:hint="eastAsia" w:cs="宋体" w:asciiTheme="majorEastAsia" w:hAnsiTheme="majorEastAsia" w:eastAsiaTheme="majorEastAsia"/>
        </w:rPr>
        <w:tab/>
      </w:r>
      <w:r>
        <w:rPr>
          <w:rFonts w:hint="eastAsia" w:cs="宋体" w:asciiTheme="majorEastAsia" w:hAnsiTheme="majorEastAsia" w:eastAsiaTheme="majorEastAsia"/>
        </w:rPr>
        <w:t>用户与交易员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2.3.1</w:t>
      </w:r>
      <w:r>
        <w:rPr>
          <w:rFonts w:hint="eastAsia" w:cs="宋体" w:asciiTheme="majorEastAsia" w:hAnsiTheme="majorEastAsia" w:eastAsiaTheme="majorEastAsia"/>
        </w:rPr>
        <w:tab/>
      </w:r>
      <w:r>
        <w:rPr>
          <w:rFonts w:hint="eastAsia" w:cs="宋体" w:asciiTheme="majorEastAsia" w:hAnsiTheme="majorEastAsia" w:eastAsiaTheme="majorEastAsia"/>
        </w:rPr>
        <w:t>用户是指归属于系统参与者的，用以在票交所系统中进行相关操作的系统账号。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2.3.2</w:t>
      </w:r>
      <w:r>
        <w:rPr>
          <w:rFonts w:hint="eastAsia" w:cs="宋体" w:asciiTheme="majorEastAsia" w:hAnsiTheme="majorEastAsia" w:eastAsiaTheme="majorEastAsia"/>
        </w:rPr>
        <w:tab/>
      </w:r>
      <w:r>
        <w:rPr>
          <w:rFonts w:hint="eastAsia" w:cs="宋体" w:asciiTheme="majorEastAsia" w:hAnsiTheme="majorEastAsia" w:eastAsiaTheme="majorEastAsia"/>
        </w:rPr>
        <w:t>用户包括机构管理员用户和机构操作员用户。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2.3.3</w:t>
      </w:r>
      <w:r>
        <w:rPr>
          <w:rFonts w:hint="eastAsia" w:cs="宋体" w:asciiTheme="majorEastAsia" w:hAnsiTheme="majorEastAsia" w:eastAsiaTheme="majorEastAsia"/>
        </w:rPr>
        <w:tab/>
      </w:r>
      <w:r>
        <w:rPr>
          <w:rFonts w:hint="eastAsia" w:cs="宋体" w:asciiTheme="majorEastAsia" w:hAnsiTheme="majorEastAsia" w:eastAsiaTheme="majorEastAsia"/>
        </w:rPr>
        <w:t>交易员用户是指具有交易权限的机构操作员用户。交易员用户可以在交易系统浏览行情、发送报价和达成交易。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2.3.4</w:t>
      </w:r>
      <w:r>
        <w:rPr>
          <w:rFonts w:hint="eastAsia" w:cs="宋体" w:asciiTheme="majorEastAsia" w:hAnsiTheme="majorEastAsia" w:eastAsiaTheme="majorEastAsia"/>
        </w:rPr>
        <w:tab/>
      </w:r>
      <w:r>
        <w:rPr>
          <w:rFonts w:hint="eastAsia" w:cs="宋体" w:asciiTheme="majorEastAsia" w:hAnsiTheme="majorEastAsia" w:eastAsiaTheme="majorEastAsia"/>
        </w:rPr>
        <w:t>交易成员应当通过规范程序授权具备票据交易业务资格的人员通过操作交易员用户代表其进行票据交易。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2.3.5任何通过用户在票交所系统中进行的操作，均应当视为该用户所归属的系统参与者的行为，由该系统参与者所属法人机构承担行为后果。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2.4</w:t>
      </w:r>
      <w:r>
        <w:rPr>
          <w:rFonts w:hint="eastAsia" w:cs="宋体" w:asciiTheme="majorEastAsia" w:hAnsiTheme="majorEastAsia" w:eastAsiaTheme="majorEastAsia"/>
        </w:rPr>
        <w:tab/>
      </w:r>
      <w:r>
        <w:rPr>
          <w:rFonts w:hint="eastAsia" w:cs="宋体" w:asciiTheme="majorEastAsia" w:hAnsiTheme="majorEastAsia" w:eastAsiaTheme="majorEastAsia"/>
        </w:rPr>
        <w:t>交易方式是指在交易系统达成票据交易的方式，包括询价、匿名点击和点击成交等。询价交易方式下，报价方式包括意向询价和对话报价。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2.5</w:t>
      </w:r>
      <w:r>
        <w:rPr>
          <w:rFonts w:hint="eastAsia" w:cs="宋体" w:asciiTheme="majorEastAsia" w:hAnsiTheme="majorEastAsia" w:eastAsiaTheme="majorEastAsia"/>
        </w:rPr>
        <w:tab/>
      </w:r>
      <w:r>
        <w:rPr>
          <w:rFonts w:hint="eastAsia" w:cs="宋体" w:asciiTheme="majorEastAsia" w:hAnsiTheme="majorEastAsia" w:eastAsiaTheme="majorEastAsia"/>
        </w:rPr>
        <w:t>票据要素包括：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（1）所属机构；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（2）票据号码；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（3）票据介质：包括纸质商业汇票（以下简称纸票）和电子商业汇票（以下简称电票）；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（4）票据类别：包括银行承兑汇票（以下简称银票）和商业承兑汇票（以下简称商票）；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（5）票据金额；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（6）出票日期；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（7）到期日期；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（8）出票人：票据的出票人名称；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（9）承兑行/承兑人开户行：银票为承兑行名称，商票为承兑人开户行名称；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（10）承兑行/承兑人开户行行号：银票为承兑行的大额支付系统行号，商票为承兑人开户行的大额支付系统行号；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（11）承兑行/承兑人开户行类型；（12）信用主体：是指票据的无条件付款责任主体中，信用等级最高的金融机构法人。若存在两者或以上信用等级相同的情况，则按付款顺序选择最先付款的主体。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银票的无条件付款责任主体包括承兑行（确认）、贴现人、保证增信行、承兑保证人和贴现保证人。付款顺序为承兑行（确认）、承兑保证人、保证增信行、贴现人、贴现保证人。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商票的无条件付款责任主体包括贴现人、保证增信行和贴现保证人。付款顺序为保证增信行、贴现人、贴现保证人。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（13）信用主体类型；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（14）贴现人；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（15）贴现人行号：贴现人的大额支付系统行号；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（16）承兑行（确认）：若承兑行/承兑人开户行对票据已进行付款确认，则该项为承兑行/承兑人开户行；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（17）保证增信行：若票据已进行保证增信，则该项为保证增信行；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（18）承兑保证人：为票据承兑人承担保证责任的金融机构；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（19）贴现保证人：为票据贴现人承担保证责任的金融机构；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（20）最近买入利率；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（21）最近买入日期；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（22）票据状态；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（23）票据流转阶段；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（24）风险票据状态；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（25）库存状态；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（26）库存机构；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（27）出票人行业分类；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（28）出票人企业规模；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（29）出票人是否三农企业。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2.6</w:t>
      </w:r>
      <w:r>
        <w:rPr>
          <w:rFonts w:hint="eastAsia" w:cs="宋体" w:asciiTheme="majorEastAsia" w:hAnsiTheme="majorEastAsia" w:eastAsiaTheme="majorEastAsia"/>
        </w:rPr>
        <w:tab/>
      </w:r>
      <w:r>
        <w:rPr>
          <w:rFonts w:hint="eastAsia" w:cs="宋体" w:asciiTheme="majorEastAsia" w:hAnsiTheme="majorEastAsia" w:eastAsiaTheme="majorEastAsia"/>
        </w:rPr>
        <w:t>票据完成权属初始登记后即可进行交易。处于挂失止付、公示催告等情形的风险票据、处于保证增信流程中的票据、已质押的票据及通过回购式贴现方式取得的票据不得进行交易。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2.7</w:t>
      </w:r>
      <w:r>
        <w:rPr>
          <w:rFonts w:hint="eastAsia" w:cs="宋体" w:asciiTheme="majorEastAsia" w:hAnsiTheme="majorEastAsia" w:eastAsiaTheme="majorEastAsia"/>
        </w:rPr>
        <w:tab/>
      </w:r>
      <w:r>
        <w:rPr>
          <w:rFonts w:hint="eastAsia" w:cs="宋体" w:asciiTheme="majorEastAsia" w:hAnsiTheme="majorEastAsia" w:eastAsiaTheme="majorEastAsia"/>
        </w:rPr>
        <w:t>交易要素是指由交易系统赋予固定名称及相关参数的，构成票据交易报价和成交的组成部分。交易要素根据转贴现、质押式回购、买断式回购等不同交易品种分别展示。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2.8</w:t>
      </w:r>
      <w:r>
        <w:rPr>
          <w:rFonts w:hint="eastAsia" w:cs="宋体" w:asciiTheme="majorEastAsia" w:hAnsiTheme="majorEastAsia" w:eastAsiaTheme="majorEastAsia"/>
        </w:rPr>
        <w:tab/>
      </w:r>
      <w:r>
        <w:rPr>
          <w:rFonts w:hint="eastAsia" w:cs="宋体" w:asciiTheme="majorEastAsia" w:hAnsiTheme="majorEastAsia" w:eastAsiaTheme="majorEastAsia"/>
        </w:rPr>
        <w:t>交易合同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2.8.1票据成交单、票据交易主协议及补充协议（若有）构成交易双方之间完整的交易合同。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2.8.2成交单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2.8.2.1成交单是交易系统根据交易双方就交易要素达成的一致约定生成的格式化的书面合同。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2.8.2.2成交单一经达成，对交易双方具有法律约束力。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2.8.3票据交易无需提供转贴现凭证、贴现凭证复印件、查询查复书及票面复印件等纸质材料。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2.9交易基本参数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2.9.1交易系统中使用的利率均为年化利率，利率保留至小数点后4位。金额精确到分，分以下四舍五入。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2.9.2票据交易计算利息金额时的日计数基准为实际天数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/360，即计息天数按实际天数计算（算头不算尾），一年按360天计算。</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2.9.3票据交易的清算速度包括T+0和T+1。T+0是指成交当日清算，T+1是指成交日的下一工作日清算。</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2.9.4结算日是指票据交易中，票据权属变更和资金结算的日期。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票据回购（包括质押式回购和买断式回购）的结算日包括首期结算日和到期结算日。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转贴现结算日（或回购首期结算日）=成交日+清算速度。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回购到期结算日适用经调整的下一工作日的营业日准则，即一般情况下，到期结算日变更为下一工作日；如下一工作日跨月，则到期结算日变更为上一工作日。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2.9.5</w:t>
      </w:r>
      <w:r>
        <w:rPr>
          <w:rFonts w:hint="eastAsia" w:cs="宋体" w:asciiTheme="majorEastAsia" w:hAnsiTheme="majorEastAsia" w:eastAsiaTheme="majorEastAsia"/>
        </w:rPr>
        <w:tab/>
      </w:r>
      <w:r>
        <w:rPr>
          <w:rFonts w:hint="eastAsia" w:cs="宋体" w:asciiTheme="majorEastAsia" w:hAnsiTheme="majorEastAsia" w:eastAsiaTheme="majorEastAsia"/>
        </w:rPr>
        <w:t>票据交易的应付利息、结算金额、收益率等根据票交所确定的计算公式和参数计算。</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2.9.6</w:t>
      </w:r>
      <w:r>
        <w:rPr>
          <w:rFonts w:hint="eastAsia" w:cs="宋体" w:asciiTheme="majorEastAsia" w:hAnsiTheme="majorEastAsia" w:eastAsiaTheme="majorEastAsia"/>
        </w:rPr>
        <w:tab/>
      </w:r>
      <w:r>
        <w:rPr>
          <w:rFonts w:hint="eastAsia" w:cs="宋体" w:asciiTheme="majorEastAsia" w:hAnsiTheme="majorEastAsia" w:eastAsiaTheme="majorEastAsia"/>
        </w:rPr>
        <w:t>结算方式是指票据交易中交易双方采用的资金收付和票据权属变更的方式。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票交所提供票款对付（DVP）和纯票过户（FOP)结算方式。票款对付是指结算双方同步办理票据过户和资金支付并互为条件的结算方式。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纯票过户是指结算双方的票据过户和资金支付相互独立的结算方式。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交易成员开展票据交易应当采用票款对付，同一法人分支机构间的票据交易可以采用纯票过户。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2.10交易日与交易时间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2.10.1</w:t>
      </w:r>
      <w:r>
        <w:rPr>
          <w:rFonts w:hint="eastAsia" w:cs="宋体" w:asciiTheme="majorEastAsia" w:hAnsiTheme="majorEastAsia" w:eastAsiaTheme="majorEastAsia"/>
        </w:rPr>
        <w:tab/>
      </w:r>
      <w:r>
        <w:rPr>
          <w:rFonts w:hint="eastAsia" w:cs="宋体" w:asciiTheme="majorEastAsia" w:hAnsiTheme="majorEastAsia" w:eastAsiaTheme="majorEastAsia"/>
        </w:rPr>
        <w:t>交易日为每周一至周五，遇法定节假日调整除外。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2.10.2</w:t>
      </w:r>
      <w:r>
        <w:rPr>
          <w:rFonts w:hint="eastAsia" w:cs="宋体" w:asciiTheme="majorEastAsia" w:hAnsiTheme="majorEastAsia" w:eastAsiaTheme="majorEastAsia"/>
        </w:rPr>
        <w:tab/>
      </w:r>
      <w:r>
        <w:rPr>
          <w:rFonts w:hint="eastAsia" w:cs="宋体" w:asciiTheme="majorEastAsia" w:hAnsiTheme="majorEastAsia" w:eastAsiaTheme="majorEastAsia"/>
        </w:rPr>
        <w:t>交易系统运行时间为8:30-21:00。</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2.10.3</w:t>
      </w:r>
      <w:r>
        <w:rPr>
          <w:rFonts w:hint="eastAsia" w:cs="宋体" w:asciiTheme="majorEastAsia" w:hAnsiTheme="majorEastAsia" w:eastAsiaTheme="majorEastAsia"/>
        </w:rPr>
        <w:tab/>
      </w:r>
      <w:r>
        <w:rPr>
          <w:rFonts w:hint="eastAsia" w:cs="宋体" w:asciiTheme="majorEastAsia" w:hAnsiTheme="majorEastAsia" w:eastAsiaTheme="majorEastAsia"/>
        </w:rPr>
        <w:t>交易时段为每交易日9:00-12:00,13:30-16:30；特殊情况下，票交所可以应急延长交易时段；如遇变更，票交所将提前发布公告。</w:t>
      </w:r>
    </w:p>
    <w:p>
      <w:pPr>
        <w:spacing w:after="156" w:afterLines="50" w:line="360" w:lineRule="auto"/>
        <w:ind w:firstLine="482" w:firstLineChars="200"/>
        <w:outlineLvl w:val="0"/>
        <w:rPr>
          <w:rFonts w:cs="宋体" w:asciiTheme="majorEastAsia" w:hAnsiTheme="majorEastAsia" w:eastAsiaTheme="majorEastAsia"/>
          <w:b/>
          <w:bCs/>
        </w:rPr>
      </w:pPr>
      <w:bookmarkStart w:id="314" w:name="_Toc9732"/>
      <w:r>
        <w:rPr>
          <w:rFonts w:hint="eastAsia" w:cs="宋体" w:asciiTheme="majorEastAsia" w:hAnsiTheme="majorEastAsia" w:eastAsiaTheme="majorEastAsia"/>
          <w:b/>
          <w:bCs/>
        </w:rPr>
        <w:t>第三章交易方式与一般流程</w:t>
      </w:r>
      <w:bookmarkEnd w:id="31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3.1询价交易方式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3.1.1询价交易方式是指交易双方自行协商确定交易价格以及其他交易要素的交易方式，包括报价/询价、格式化交谈和确认成交三个步骤。</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3.1.2报价/询价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询价交易方式下，报价/询价方式包括意向询价和对话报价。意向询价不能直接成交，必须转化成对话报价后才能成交；对话报价经对手方确认即可成交，属于要约报价。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3.1.2.1意向询价是指交易成员向全市场、特定群组或单个交易员发出的，表明其交易意向的询价。受价方可以将该询价转化成与询价方的对话报价，进行格式化交谈。交易系统提供不同方向意向询价的模糊匹配和推送功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3.1.2.2对话报价是指交易成员向特定单一交易员发出的交易要素完整、明确的报价，受价方确认即可成交。对话报价只能由卖出方或正回购方发起。对话报价一经发出，不得撤回。</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3.1.3格式化交谈是指交易成员与对手方相互发送的一系列对话报价所组成的交易磋商行为。若其中一方确认成交或终止对话，则格式化交谈结束。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3.1.4成交</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3.1.4.1交易成员通过格式化交谈就交易要素达成一致后可以向交易系统提交确认成交的请求。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3.1.4.2请求确认成交的交易符合交易规则及其他风险控制指标的，交易系统予以确认成交。</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3.2点击成交交易方式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3.2.1点击成交是指交易成员向全市场匿名发送包含全部交易要素（卖出/正回购报价）或除票据清单之外的全部交易要素（买入/逆回购报价）的点击成交报价，对手方直接点击成交（卖出/正回购报价）或提交符合要求的票据后点击成交（买入/逆回购报价）的交易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3.2.2报价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3.2.2.1卖出/正回购点击成交报价需包含所有交易要素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（包括票据清单）。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3.2.2.2买入/逆回购点击成交报价包含除票据清单之外的所有交易要素，但需详细注明标的票据或质押票据的要求（如信用主体类型、剩余期限、票据介质、票据类别等）。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3.2.3成交</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3.2.3.1买入方/逆回购方可以直接点击卖出报价进行成交。</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3.2.3.2卖出方/正回购方在点击买入/逆回购报价时需提交符合要求的标的票据或质押票据，提交完成并校验通过后，直接成交。</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3.3匿名点击交易方式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3.3.1匿名点击是指交易双方提交包含关键交易要素的匿名报价，交易系统在双边授信范围内按照“价格优先、时间优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先”的原则自动匹配，达成交易，未匹配的报价可供直接点击。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3.3.2报价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交易双方均可以根据交易系统设置的要求完整填写匿名报价所需关键要素，提交匿名报价。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3.3.3成交</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3.3.3.1交易系统在各交易成员预先设置的双边授信范围内根据“价格优先、时间优先”的原则对所有匿名报价进行自动匹配。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3.3.3.2未能匹配成功的报价将展示在交易系统中，其他对手方交易员可以在预先设置的双边授信范围内直接点击该报价。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3.3.3.3交易过程全部匿名，匹配或点击成功后，交易双方才能看到对手方机构，该笔交易正式达成，交易系统自动生成成交单，并由卖出方/正回购方根据交易系统的规则提交标的票据或质押票据。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3.4票据挑选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3.4.1票据挑选是指交易员在发起报价时，通过勾选本交易成员托管账户项下票据资产或买断式回购待返售票据包，或上传票据资产Excel清单的方式，确定报价标的资产。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3.4.2单笔报价挑选的票据张数不得超过交易系统设置的上限。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3.4.3票据挑选要求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3.4.3.1票据挑选需从本交易成员票据托管账户项下的可交易状态的票据中挑选，风险票据和处于保管增信流程中的票据不得挑选。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3.4.3.2点击成交交易方式下，可挑选的标的票据或质押票据仅限于指定信用主体类型、剩余期限、票据类别和票据介质的票据。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3.4.3.3匿名点击交易方式下，挑选的符合条件的标的票据或质押票据的票面总额不得低于交易金额或回购金额。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3.4.3.4票据质押式回购交易可以选择按买断式回购待返售票据包挑选，即挑选已办理的票据买断式回购交易项下形成的待赎回票据包。该票据包不提供清单导入，只可整包交易，不可拆分，不可与其他票据资产组合交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3.4.3.5附带票据清单的报价发送后，交易系统对其报价下的票据予以锁定，其他交易员不得挑选该票据。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3.5成交</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3.5.1成交单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3.5.1.1成交单上载有交易双方就交易要素达成一致的约定和其他必要内容，并附票据清单。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3.5.1.2根据交易成员在票交所系统中提交的成员资料，成交单自动显示交易双方的机构信息和账户信息。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3.5.2成交变更和撤销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3.5.2.1交易双方应当根据成交单履行合同义务，不得擅自变更或解除。</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3.5.2.2若交易双方因特殊情况确需解除已达成的交易，应当根据《上海票据交易所应急服务规则》向票交所申请应急撤销成交。</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3.6清算结算</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3.6.1结算方式为票款对付的交易，由票交所系统依据成交单为交易双方办理清算和结算；结算方式为纯票过户的交易，票交所系统仅为其办理票据权属变更登记，资金结算由交易双方自行办理。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3.6.2因回购到期结算日变更而产生的到期应付利息变动，由票交所系统自动计算并且据此调整到期结算金额。</w:t>
      </w:r>
    </w:p>
    <w:p>
      <w:pPr>
        <w:spacing w:after="156" w:afterLines="50" w:line="360" w:lineRule="auto"/>
        <w:ind w:firstLine="482" w:firstLineChars="200"/>
        <w:outlineLvl w:val="0"/>
        <w:rPr>
          <w:rFonts w:cs="宋体" w:asciiTheme="majorEastAsia" w:hAnsiTheme="majorEastAsia" w:eastAsiaTheme="majorEastAsia"/>
          <w:b/>
          <w:bCs/>
        </w:rPr>
      </w:pPr>
      <w:bookmarkStart w:id="315" w:name="_Toc22440"/>
      <w:r>
        <w:rPr>
          <w:rFonts w:hint="eastAsia" w:cs="宋体" w:asciiTheme="majorEastAsia" w:hAnsiTheme="majorEastAsia" w:eastAsiaTheme="majorEastAsia"/>
          <w:b/>
          <w:bCs/>
        </w:rPr>
        <w:t>第四章票据转贴现</w:t>
      </w:r>
      <w:bookmarkEnd w:id="31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4.1票据转贴现（以下简称转贴现）是指卖出方将未到期的已贴现票据向买入方转让的交易行为。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4.2转贴现主要交易要素包括：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（1）交易方向：卖出或买入；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（2）票据类别：银票或商票；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（3）票据介质：纸票或电票；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（4）票面总额；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（5）交易利率；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（6）收益率：收益率=（票面总额/结算金额-1）×360/加权平均剩余期限；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（7）部分成交选项：买入方是否可以删减报价项下标的票据；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（8）报价有效时间；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（9）最晚结算时间：指在达成交易后，交易双方应当在该约定时间前完成结算，否则该笔交易清算失败，导致清算失败的一方判定违约；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（10）应付利息：应付利息=Σ（票据金额×交易利率×剩余期限/360）；</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（11）结算金额：结算金额=票面总额-应付利息;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（12）加权平均剩余期限：加权平均剩余期限=Σ（票据金额×剩余期限）/票面总额；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（13）票据张数；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（14）结算日：结算日=成交日+清算速度；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（15）清算速度：T+0或T+1；</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（16）结算方式：票款对付（DVP）或纯票过户（FOP）；</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（17）清算类型：全额清算。</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4.3</w:t>
      </w:r>
      <w:r>
        <w:rPr>
          <w:rFonts w:hint="eastAsia" w:cs="宋体" w:asciiTheme="majorEastAsia" w:hAnsiTheme="majorEastAsia" w:eastAsiaTheme="majorEastAsia"/>
        </w:rPr>
        <w:tab/>
      </w:r>
      <w:r>
        <w:rPr>
          <w:rFonts w:hint="eastAsia" w:cs="宋体" w:asciiTheme="majorEastAsia" w:hAnsiTheme="majorEastAsia" w:eastAsiaTheme="majorEastAsia"/>
        </w:rPr>
        <w:t>转贴现可以采用询价交易方式和点击成交交易方式。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询价交易方式下，可以采用意向询价和对话报价方式。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4.4</w:t>
      </w:r>
      <w:r>
        <w:rPr>
          <w:rFonts w:hint="eastAsia" w:cs="宋体" w:asciiTheme="majorEastAsia" w:hAnsiTheme="majorEastAsia" w:eastAsiaTheme="majorEastAsia"/>
        </w:rPr>
        <w:tab/>
      </w:r>
      <w:r>
        <w:rPr>
          <w:rFonts w:hint="eastAsia" w:cs="宋体" w:asciiTheme="majorEastAsia" w:hAnsiTheme="majorEastAsia" w:eastAsiaTheme="majorEastAsia"/>
        </w:rPr>
        <w:t>成交单与票据清单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4.4.1转贴现成交单载有以下内容：成交时间、成交单编号、交易双方机构信息、交易双方交易员信息、票据类别、票据介质、票面总额、应付利息、结算金额、交易利率、加权平均剩余期限、收益率、票据张数、结算日、结算方式、清算类型、最晚结算时间、交易双方账户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4.4.2转贴现成交单所附票据清单载有以下要素：成交单编号、序号、票据号码、票据类别、票据介质、票据金额、出票日期、到期日期、出票人、承兑行/承兑人开户行、成交日、结算日、剩余期限、交易利率、收益率、应付利息、结算金额。第五章票据质押式回购</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5.1</w:t>
      </w:r>
      <w:r>
        <w:rPr>
          <w:rFonts w:hint="eastAsia" w:cs="宋体" w:asciiTheme="majorEastAsia" w:hAnsiTheme="majorEastAsia" w:eastAsiaTheme="majorEastAsia"/>
        </w:rPr>
        <w:tab/>
      </w:r>
      <w:r>
        <w:rPr>
          <w:rFonts w:hint="eastAsia" w:cs="宋体" w:asciiTheme="majorEastAsia" w:hAnsiTheme="majorEastAsia" w:eastAsiaTheme="majorEastAsia"/>
        </w:rPr>
        <w:t>票据质押式回购（以下简称质押式回购）是指正回购方在将票据出质给逆回购方融入资金的同时，双方约定在未来某一日期由正回购方按约定金额向逆回购方返还资金、逆回购方向正回购方返还原出质票据的交易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5.2</w:t>
      </w:r>
      <w:r>
        <w:rPr>
          <w:rFonts w:hint="eastAsia" w:cs="宋体" w:asciiTheme="majorEastAsia" w:hAnsiTheme="majorEastAsia" w:eastAsiaTheme="majorEastAsia"/>
        </w:rPr>
        <w:tab/>
      </w:r>
      <w:r>
        <w:rPr>
          <w:rFonts w:hint="eastAsia" w:cs="宋体" w:asciiTheme="majorEastAsia" w:hAnsiTheme="majorEastAsia" w:eastAsiaTheme="majorEastAsia"/>
        </w:rPr>
        <w:t>质押式回购主要交易要素包括：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（1）交易方向：正回购或逆回购；</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（2）票据类别：银票或商票；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（3）票据介质：纸票或电票；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（4）回购期限：最短为1天，最长为Min[“质押票据最短剩余期限-1”或“买断式回购待返售票据包的买断式回购剩余期限-1”，365天]；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（5）首期结算日：首期结算日=成交日+清算速度；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（6）到期结算日：到期结算日=首期结算日+回购期限，到期结算日应不为法定休假日；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（7）票面总额；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（8）回购金额：正回购方在回购到期时实际返还的金额；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（9）回购利率；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（10）回购收益率：根据首期结算金额、到期结算金额和回购期限计算出的实际融资成本，回购收益率=（到期结算金额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/首期结算金额-1）×360/回购期限；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（11）部分成交选项：逆回购方是否可以删减报价项下质押票据；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（12）报价有效时间；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（13）最晚首期结算时间：指在达成交易后，交易双方应当在该约定时间前完成结算，否则该笔交易清算失败，导致清算失败的一方判定违约；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（14）应付利息：应付利息=回购金额×回购期限×回购利率／360；</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（15）首期结算金额：首期结算金额=回购金额－应付利息；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（16）到期结算金额：到期结算金额=回购金额；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（17）票据张数；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（18）清算速度：T+0或T+1；</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（19）结算方式：票款对付（DVP）或纯票过户（FOP）；</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（20）清算类型：全额清算。</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5.3</w:t>
      </w:r>
      <w:r>
        <w:rPr>
          <w:rFonts w:hint="eastAsia" w:cs="宋体" w:asciiTheme="majorEastAsia" w:hAnsiTheme="majorEastAsia" w:eastAsiaTheme="majorEastAsia"/>
        </w:rPr>
        <w:tab/>
      </w:r>
      <w:r>
        <w:rPr>
          <w:rFonts w:hint="eastAsia" w:cs="宋体" w:asciiTheme="majorEastAsia" w:hAnsiTheme="majorEastAsia" w:eastAsiaTheme="majorEastAsia"/>
        </w:rPr>
        <w:t>质押式回购可以采用询价交易方式和匿名点击交易方式。询价交易方式下，可以采用意向询价和对话报价方式。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5.4</w:t>
      </w:r>
      <w:r>
        <w:rPr>
          <w:rFonts w:hint="eastAsia" w:cs="宋体" w:asciiTheme="majorEastAsia" w:hAnsiTheme="majorEastAsia" w:eastAsiaTheme="majorEastAsia"/>
        </w:rPr>
        <w:tab/>
      </w:r>
      <w:r>
        <w:rPr>
          <w:rFonts w:hint="eastAsia" w:cs="宋体" w:asciiTheme="majorEastAsia" w:hAnsiTheme="majorEastAsia" w:eastAsiaTheme="majorEastAsia"/>
        </w:rPr>
        <w:t>质押式回购交易要求足额质押，即质押式回购的回购金额不得超过质押票据的票面总额。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5.5</w:t>
      </w:r>
      <w:r>
        <w:rPr>
          <w:rFonts w:hint="eastAsia" w:cs="宋体" w:asciiTheme="majorEastAsia" w:hAnsiTheme="majorEastAsia" w:eastAsiaTheme="majorEastAsia"/>
        </w:rPr>
        <w:tab/>
      </w:r>
      <w:r>
        <w:rPr>
          <w:rFonts w:hint="eastAsia" w:cs="宋体" w:asciiTheme="majorEastAsia" w:hAnsiTheme="majorEastAsia" w:eastAsiaTheme="majorEastAsia"/>
        </w:rPr>
        <w:t>质押式回购的质押票据可以是单张票据的组合，也可以是买断式回购待返售票据包。</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5.6</w:t>
      </w:r>
      <w:r>
        <w:rPr>
          <w:rFonts w:hint="eastAsia" w:cs="宋体" w:asciiTheme="majorEastAsia" w:hAnsiTheme="majorEastAsia" w:eastAsiaTheme="majorEastAsia"/>
        </w:rPr>
        <w:tab/>
      </w:r>
      <w:r>
        <w:rPr>
          <w:rFonts w:hint="eastAsia" w:cs="宋体" w:asciiTheme="majorEastAsia" w:hAnsiTheme="majorEastAsia" w:eastAsiaTheme="majorEastAsia"/>
        </w:rPr>
        <w:t>质押式回购期间，质押票据如遇以下情形，交易双方协商一致要求提前回购全部或部分质押票据的，应当向票交所提交书面申请。经票交所同意后，由场务协助完成提前回购所涉票据的相关权属变更。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（1）回购票据遇挂失止付、公示催告或被有权机关采取查封、冻结等保全或执行措施等情形；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（2）承兑人存在破产清算、公司解散或被责令终止业务活动等已明确会严重影响票据到期兑付的情形；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（3）交易一方存在机构合并、分立或撤销等情形；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（4）交易双方协商一致的其它情形。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5.7</w:t>
      </w:r>
      <w:r>
        <w:rPr>
          <w:rFonts w:hint="eastAsia" w:cs="宋体" w:asciiTheme="majorEastAsia" w:hAnsiTheme="majorEastAsia" w:eastAsiaTheme="majorEastAsia"/>
        </w:rPr>
        <w:tab/>
      </w:r>
      <w:r>
        <w:rPr>
          <w:rFonts w:hint="eastAsia" w:cs="宋体" w:asciiTheme="majorEastAsia" w:hAnsiTheme="majorEastAsia" w:eastAsiaTheme="majorEastAsia"/>
        </w:rPr>
        <w:t>质押式回购期间，质押票据如遇挂失止付、公示催告或被有权机关查封、冻结等票据权利受限制的情况，经交易双方协商一致，正回购方应按照交易双方的约定提供其他票据，为逆回购方设置质押登记，该等其他票据的票据金额不得低于原质押票据的票据金额。逆回购方应在正回购方按照约定向其出质该等其他票据后的下一个营业日，解除原质押票据上的质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5.8</w:t>
      </w:r>
      <w:r>
        <w:rPr>
          <w:rFonts w:hint="eastAsia" w:cs="宋体" w:asciiTheme="majorEastAsia" w:hAnsiTheme="majorEastAsia" w:eastAsiaTheme="majorEastAsia"/>
        </w:rPr>
        <w:tab/>
      </w:r>
      <w:r>
        <w:rPr>
          <w:rFonts w:hint="eastAsia" w:cs="宋体" w:asciiTheme="majorEastAsia" w:hAnsiTheme="majorEastAsia" w:eastAsiaTheme="majorEastAsia"/>
        </w:rPr>
        <w:t>成交单与票据清单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5.8.1质押式回购成交单载有以下内容：成交时间、成交单编号、交易双方机构信息、交易双方交易员信息、票据类别、票据介质、票面总额、应付利息、回购金额、首期结算金额、到期结算金额、回购利率、回购期限、回购收益率、票据张数、首期结算日、到期结算日、结算方式、清算类型、最晚首期结算时间、交易双方账户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5.8.2质押式回购成交单所附票据清单载有以下要素：成交单编号、序号、票据号码、票据类别、票据介质、票据金额、出票日期、到期日期、出票人、承兑行/承兑人开户行、成交日、首期结算日、到期结算日、回购期限、回购利率、回购收益率、应付利息、首期结算金额、到期结算金额。</w:t>
      </w:r>
    </w:p>
    <w:p>
      <w:pPr>
        <w:spacing w:after="156" w:afterLines="50" w:line="360" w:lineRule="auto"/>
        <w:ind w:firstLine="482" w:firstLineChars="200"/>
        <w:outlineLvl w:val="0"/>
        <w:rPr>
          <w:rFonts w:cs="宋体" w:asciiTheme="majorEastAsia" w:hAnsiTheme="majorEastAsia" w:eastAsiaTheme="majorEastAsia"/>
          <w:b/>
          <w:bCs/>
        </w:rPr>
      </w:pPr>
      <w:bookmarkStart w:id="316" w:name="_Toc21456"/>
      <w:r>
        <w:rPr>
          <w:rFonts w:hint="eastAsia" w:cs="宋体" w:asciiTheme="majorEastAsia" w:hAnsiTheme="majorEastAsia" w:eastAsiaTheme="majorEastAsia"/>
          <w:b/>
          <w:bCs/>
        </w:rPr>
        <w:t>第六章票据买断式回购</w:t>
      </w:r>
      <w:bookmarkEnd w:id="31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6.1票据买断式回购（以下简称买断式回购）是指正回购方将票据卖给逆回购方的同时，双方约定在未来某一日期，正回购方再以约定价格从逆回购方买回票据的交易行为。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6.2买断式回购主要交易要素包括：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（1）交易方向：正回购或逆回购；</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（2）票据类别：银票或商票；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（3）票据介质：纸票或电票；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（4）回购期限：最短为1天，最长为Min[“标的票据最短剩余期限-1”，365天]；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（5）首期结算日：首期结算日=成交日+清算速度；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（6）到期结算日：到期结算日=首期结算日+回购期限，到期结算日应不为法定休假日；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（7）票面总额；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（8）回购收益率：根据首期结算金额、到期结算金额和回购期限计算出的实际融资成本，回购收益率=（到期结算金额/首期结算金额-1）×360/回购期限；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（9）部分成交选项：逆回购方是否可以删减报价项下标的票据；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（10）报价有效时间；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（11）最晚首期结算时间：指在达成交易后，交易双方应当在该约定时间前完成结算，否则该笔交易清算失败，导致清算失败的一方判定违约；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（12）首期交易利率：首期交易的交易利率；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（13）到期交易利率：到期交易的交易利率；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（14）首期应付利息：首期应付利息=∑（票据金额×首期交易利率×首期剩余期限／360），首期剩余期限=票据到期日期-首期结算日；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（15）到期应付利息：到期应付利息=∑（票据金额×到期交易利率×到期剩余期限／360），到期剩余期限=票据到期日期-到期结算日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（16）首期结算金额：首期结算金额=票面总额－首期应付利息；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（17）到期结算金额：到期结算金额=票面总额－到期应付利息；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（18）票据张数；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（19）清算速度：T+0或T+1；</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（20）结算方式：票款对付（DVP）或纯票过户（FOP）；</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（21）清算类型：全额清算。</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6.3</w:t>
      </w:r>
      <w:r>
        <w:rPr>
          <w:rFonts w:hint="eastAsia" w:cs="宋体" w:asciiTheme="majorEastAsia" w:hAnsiTheme="majorEastAsia" w:eastAsiaTheme="majorEastAsia"/>
        </w:rPr>
        <w:tab/>
      </w:r>
      <w:r>
        <w:rPr>
          <w:rFonts w:hint="eastAsia" w:cs="宋体" w:asciiTheme="majorEastAsia" w:hAnsiTheme="majorEastAsia" w:eastAsiaTheme="majorEastAsia"/>
        </w:rPr>
        <w:t>买断式回购应当采用询价交易方式。询价交易方式下，可以采用意向询价和对话报价方式。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6.4</w:t>
      </w:r>
      <w:r>
        <w:rPr>
          <w:rFonts w:hint="eastAsia" w:cs="宋体" w:asciiTheme="majorEastAsia" w:hAnsiTheme="majorEastAsia" w:eastAsiaTheme="majorEastAsia"/>
        </w:rPr>
        <w:tab/>
      </w:r>
      <w:r>
        <w:rPr>
          <w:rFonts w:hint="eastAsia" w:cs="宋体" w:asciiTheme="majorEastAsia" w:hAnsiTheme="majorEastAsia" w:eastAsiaTheme="majorEastAsia"/>
        </w:rPr>
        <w:t>买断式回购期间，如遇以下情形，交易双方协商一致要求提前赎回全部或部分标的票据的，应当向票交所提交书面申请。经票交所同意后，由场务协助完成提前赎回所涉票据的相关权属变更。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（1）承兑人存在破产清算、公司解散或被责令终止业务活动等已明确会严重影响票据到期兑付的情形；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（2）交易一方存在机构合并、分立或撤销等情形；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（3）交易双方协商一致的其它情形。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6.5</w:t>
      </w:r>
      <w:r>
        <w:rPr>
          <w:rFonts w:hint="eastAsia" w:cs="宋体" w:asciiTheme="majorEastAsia" w:hAnsiTheme="majorEastAsia" w:eastAsiaTheme="majorEastAsia"/>
        </w:rPr>
        <w:tab/>
      </w:r>
      <w:r>
        <w:rPr>
          <w:rFonts w:hint="eastAsia" w:cs="宋体" w:asciiTheme="majorEastAsia" w:hAnsiTheme="majorEastAsia" w:eastAsiaTheme="majorEastAsia"/>
        </w:rPr>
        <w:t>买断式回购形成的待返售票据包，在回购期间可以再用于办理质押式回购，办理质押式回购的到期结算日应当早于原买断式回购到期结算日。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如买断式回购期间票据包中出现风险票据，逆回购方可以按规定处置风险票据。回购到期时，若仍然存在风险票据，则到期清算失败，不作为交易双方的违约事件。交易双方协商一致后，可以在线下进行资金清算，并向票交所申请办理票据权属变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6.6</w:t>
      </w:r>
      <w:r>
        <w:rPr>
          <w:rFonts w:hint="eastAsia" w:cs="宋体" w:asciiTheme="majorEastAsia" w:hAnsiTheme="majorEastAsia" w:eastAsiaTheme="majorEastAsia"/>
        </w:rPr>
        <w:tab/>
      </w:r>
      <w:r>
        <w:rPr>
          <w:rFonts w:hint="eastAsia" w:cs="宋体" w:asciiTheme="majorEastAsia" w:hAnsiTheme="majorEastAsia" w:eastAsiaTheme="majorEastAsia"/>
        </w:rPr>
        <w:t>成交单与票据清单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6.6.1</w:t>
      </w:r>
      <w:r>
        <w:rPr>
          <w:rFonts w:hint="eastAsia" w:cs="宋体" w:asciiTheme="majorEastAsia" w:hAnsiTheme="majorEastAsia" w:eastAsiaTheme="majorEastAsia"/>
        </w:rPr>
        <w:tab/>
      </w:r>
      <w:r>
        <w:rPr>
          <w:rFonts w:hint="eastAsia" w:cs="宋体" w:asciiTheme="majorEastAsia" w:hAnsiTheme="majorEastAsia" w:eastAsiaTheme="majorEastAsia"/>
        </w:rPr>
        <w:t>买断式回购成交单载有以下内容：成交时间、成交单编号、交易双方机构信息、交易双方交易员信息、票据类别、票据介质、票面总额、首期应付利息、到期应付利息、首期结算金额、到期结算金额、首期交易利率、到期交易利率、回购收益率、回购期限、票据张数、首期结算日、到期结算日、结算方式、清算类型、最晚首期结算时间、交易双方账户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6.6.2</w:t>
      </w:r>
      <w:r>
        <w:rPr>
          <w:rFonts w:hint="eastAsia" w:cs="宋体" w:asciiTheme="majorEastAsia" w:hAnsiTheme="majorEastAsia" w:eastAsiaTheme="majorEastAsia"/>
        </w:rPr>
        <w:tab/>
      </w:r>
      <w:r>
        <w:rPr>
          <w:rFonts w:hint="eastAsia" w:cs="宋体" w:asciiTheme="majorEastAsia" w:hAnsiTheme="majorEastAsia" w:eastAsiaTheme="majorEastAsia"/>
        </w:rPr>
        <w:t>买断式回购成交单所附票据清单载有以下要素：成交单编号、序号、票据号码、票据类别、票据介质、票据金额、出票日期、到期日期、出票人、承兑行/承兑人开户行、成交日、首期结算日、到期结算日、回购期限、首期剩余期限、到期剩余期限、首期交易利率、到期交易利率、回购收益率、首期应付利息、到期应付利息、首期结算金额、到期结算金额。</w:t>
      </w:r>
    </w:p>
    <w:p>
      <w:pPr>
        <w:spacing w:after="156" w:afterLines="50" w:line="360" w:lineRule="auto"/>
        <w:ind w:firstLine="482" w:firstLineChars="200"/>
        <w:outlineLvl w:val="0"/>
        <w:rPr>
          <w:rFonts w:cs="宋体" w:asciiTheme="majorEastAsia" w:hAnsiTheme="majorEastAsia" w:eastAsiaTheme="majorEastAsia"/>
          <w:b/>
          <w:bCs/>
        </w:rPr>
      </w:pPr>
      <w:bookmarkStart w:id="317" w:name="_Toc13011"/>
      <w:r>
        <w:rPr>
          <w:rFonts w:hint="eastAsia" w:cs="宋体" w:asciiTheme="majorEastAsia" w:hAnsiTheme="majorEastAsia" w:eastAsiaTheme="majorEastAsia"/>
          <w:b/>
          <w:bCs/>
        </w:rPr>
        <w:t>第七章市场监测</w:t>
      </w:r>
      <w:bookmarkEnd w:id="31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7.1票交所负责票据市场的日常监测。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7.2交易成员发现票据业务有违规违约行为的，应当及时向票交所反映或举报。票交所可以根据实际需要向交易双方了解、核实有关情况，当事的交易成员应当积极配合票交所调查，向票交所提供涉及违规违约行为的资料和证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7.3票交所对票据交易中的异常情况，有权向相关交易成员了解情况，交易成员应当根据票交所的要求提供相应说明。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7.4票交所发现交易成员违反票交所相关业务规则的，可以要求其立即停止相关行为，并根据情节轻重予以通报、暂停交易和取消系统参与资格等处理，同时按照相关规定向中国人民银行报告。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7.5本规则认定的违规行为包括：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（1）在票交所之外开展已贴现的纸质票据交易的；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（2）恶意操纵票据交易价格，或制造票据虚假价格的；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（3）擅自变更或解除成交单的；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（4）达成票据交易后，恶意不履行合同义务的；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（5）重要资料或信息发生变更但未及时向票交所提交变更后的资料或信息，从而对交易造成不良影响的；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（6）恶意破坏票交所系统或者未按票交所系统使用规范操作系统从而影响票交所系统正常运行的；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（7）非法利用他人账户从事票据交易，或出借自己或者他人的账户的；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（8）其他违反中国人民银行相关管理办法和本规则的行为。</w:t>
      </w:r>
    </w:p>
    <w:p>
      <w:pPr>
        <w:spacing w:after="156" w:afterLines="50" w:line="360" w:lineRule="auto"/>
        <w:ind w:firstLine="482" w:firstLineChars="200"/>
        <w:outlineLvl w:val="0"/>
        <w:rPr>
          <w:rFonts w:cs="宋体" w:asciiTheme="majorEastAsia" w:hAnsiTheme="majorEastAsia" w:eastAsiaTheme="majorEastAsia"/>
          <w:b/>
          <w:bCs/>
        </w:rPr>
      </w:pPr>
      <w:bookmarkStart w:id="318" w:name="_Toc18251"/>
      <w:r>
        <w:rPr>
          <w:rFonts w:hint="eastAsia" w:cs="宋体" w:asciiTheme="majorEastAsia" w:hAnsiTheme="majorEastAsia" w:eastAsiaTheme="majorEastAsia"/>
          <w:b/>
          <w:bCs/>
        </w:rPr>
        <w:t>第八章交易相关服务</w:t>
      </w:r>
      <w:bookmarkEnd w:id="318"/>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8.1票交所为交易成员在票交所系统达成的票据交易提供权属变更、资金清算等服务。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8.2票交所通过票交所系统、票交所门户网站及授权信息服务机构向交易成员提供信息服务。票交所可以根据中国人民银行的要求或市场发展需要，调整信息服务的方式和内容。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8.3票交所向交易成员提供信息服务的，或者授权信息服务机构向交易成员提供信息服务的，交易成员及信息服务机构应当与票交所签订信息服务协议或许可协议，并应当遵守票交所信息管理相关规定。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8.4未经票交所许可，任何系统参与者及其从业人员不得发布票据交易的即时行情，不得发布、以商业目的使用、传播或经营票交所所有的信息。经票交所许可使用信息的机构或个人，未经票交所同意，不得将信息提供给其他机构和个人使用或予以传播。</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8.5交易成员无法使用交易系统的票据提交、成交等功能，或因特殊情况需要应急撤销报价或成交时，可以依据《上海票据交易所应急服务规则》向票交所申请应急服务。</w:t>
      </w:r>
    </w:p>
    <w:p>
      <w:pPr>
        <w:spacing w:after="156" w:afterLines="50" w:line="360" w:lineRule="auto"/>
        <w:ind w:firstLine="482" w:firstLineChars="200"/>
        <w:outlineLvl w:val="0"/>
        <w:rPr>
          <w:rFonts w:cs="宋体" w:asciiTheme="majorEastAsia" w:hAnsiTheme="majorEastAsia" w:eastAsiaTheme="majorEastAsia"/>
          <w:b/>
          <w:bCs/>
        </w:rPr>
      </w:pPr>
      <w:bookmarkStart w:id="319" w:name="_Toc12686"/>
      <w:r>
        <w:rPr>
          <w:rFonts w:hint="eastAsia" w:cs="宋体" w:asciiTheme="majorEastAsia" w:hAnsiTheme="majorEastAsia" w:eastAsiaTheme="majorEastAsia"/>
          <w:b/>
          <w:bCs/>
        </w:rPr>
        <w:t>第九章附则</w:t>
      </w:r>
      <w:bookmarkEnd w:id="319"/>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9.1如遇不可抗力，票交所有权决定暂停全部或部分交易。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9.2本规则由票交所负责解释，自发布之日起施行。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p>
    <w:p>
      <w:pPr>
        <w:pStyle w:val="2"/>
        <w:numPr>
          <w:ilvl w:val="0"/>
          <w:numId w:val="0"/>
        </w:numPr>
        <w:ind w:left="922" w:leftChars="0" w:hanging="440" w:firstLineChars="0"/>
      </w:pPr>
      <w:bookmarkStart w:id="320" w:name="_Toc1841"/>
      <w:r>
        <w:rPr>
          <w:rFonts w:cs="宋体" w:asciiTheme="majorEastAsia" w:hAnsiTheme="majorEastAsia" w:eastAsiaTheme="majorEastAsia"/>
          <w:b/>
          <w:bCs/>
          <w:sz w:val="24"/>
          <w:szCs w:val="24"/>
          <w:lang w:val="en-US" w:eastAsia="zh-CN" w:bidi="ar-SA"/>
        </w:rPr>
        <w:t>91.</w:t>
      </w:r>
      <w:r>
        <w:rPr>
          <w:rFonts w:hint="eastAsia"/>
        </w:rPr>
        <w:t>《关于金融支持制造强国建设的指导意见》</w:t>
      </w:r>
      <w:bookmarkEnd w:id="320"/>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发文机构：中国人民银行、工业和信息化部、中国银行业监督管理委员会(已撤销)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文号：银发〔2017〕58号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贯彻落实党的十八大和十八届三中、四中、五中、六中全会精神，按照《中国制造2025》、《国务院关于深化制造业与互联网融合发展的指导意见》等要求，进一步建立健全多元化金融服务体系，大力推动金融产品和服务创新，加强和改进对制造强国建设的金融支持和服务，现提出如下意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、高度重视和持续改进对制造强国建设的金融支持和服务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坚持问题导向，着力加强对制造业科技创新、转型升级和科技型中小制造企业的金融支持。制造业是实体经济的主体，是科技创新的主战场，是供给侧结构性改革的主攻领域。当前，我国制造业仍存在大而不强，创新能力弱，关键核心技术与高端装备对外依存度高等问题。金融部门应聚焦制造业发展的难点痛点，坚持区别对待、有扶有控原则，不断优化金融支持方向和结构，着力加强对制造业科技创新和技术改造升级的中长期金融支持，积极拓宽技术密集型和中小型制造业企业的多元化融资渠道，促进制造业结构调整、转型升级、提质增效和由大变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突出支持重点，改进和完善制造业重点领域和关键任务的金融服务。金融部门要紧紧围绕《中国制造2025》重点任务和“1+X”规划体系，改进和完善金融服务水平。探索为制造业创新中心等公共服务平台提供创新型、多元化融资服务，支持关键共性技术研发和科技成果转化应用。着力加强对核心基础零部件等“四基”企业的融资支持，促进提升工业基础水平。切实加强对企业技术改造中长期贷款支持，合理安排授信期限和还款方式，支持制造业两化融合发展和智能化升级。大力发展绿色金融业务，促进制造业绿色发展。积极运用信贷、租赁、保险等多种金融手段，支持高端装备领域突破发展和扩大应用。加强对工业互联网重点项目的金融支持力度，支持制造业个性化定制和服务型制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、积极发展和完善支持制造强国建设的多元化金融组织体系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发挥各类银行机构的差异化优势，形成金融服务协同效应。开发性、政策性金融机构要在重点领域和薄弱环节切实发挥引领作用，在业务范围内以财务可持续为前提，加大对重大项目、重大技术推广和重大装备应用的融资支持。全国性商业银行要积极发挥网络渠道、业务功能协同等优势，为制造业企业提供综合性金融服务，不断改进和提升对中小型制造业企业金融服务的质量效率。地方法人金融机构要注重发挥管理半径短、经营机制灵活等优势，立足当地，服务中小，积极开发针对中小型制造业企业的特色化、专业化金融产品和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完善银行机构组织架构，提升金融服务专业化水平。鼓励有条件的金融机构探索建立先进制造业融资事业部制，加强对信息技术、高端装备、新材料、生物医药等战略重点行业的专业化支持。鼓励符合条件的银行业金融机构在新型工业化产业示范基地等先进制造业聚集地区设立科技金融专营机构，在客户准入、信贷审批、风险偏好、业绩考核等方面实施差异化管理。积极推动小微企业专营机构建设，围绕制造业中量大面广的小微企业、民营企业，提供批量化、规模化、标准化的金融服务。要完善小微企业授信工作尽职免责管理制度，激励基层机构和信贷人员支持中小微制造业企业发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规范发展制造业企业集团财务公司。支持符合条件的制造业企业集团设立企业集团财务公司，充分发挥财务公司作为集团“资金归集平台、资金结算平台、资金监控平台、融资营运平台、金融服务平台”的功能，有效提高企业集团内部资金运作效率和精细化管理水平。鼓励具备条件的制造业企业集团财务公司在有效防控风险的前提下，通过开展成员单位产品的买方信贷、消费信贷和融资租赁服务，促进集团产品销售。稳步推进企业集团财务公司开展延伸产业链金融服务试点工作，通过“一头在外”的票据贴现业务和应收账款保理业务，促进降低产业链整体融资成本，更好的支持集团主业发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加快制造业领域融资租赁业务发展。积极支持符合条件的金融机构和制造业企业在制造业集聚地区，通过控股、参股等方式发起设立金融租赁公司，支持大型飞机、民用航天、先进轨道交通、海洋工程装备和高技术船舶、智能电网成套设备等高端装备重点领域扩大市场应用和提高国际竞争力。大力发展直接租赁、售后回租等业务，充分发挥融资租赁业务支持企业融资与融物的双重功能，通过“以租代购”、分期偿还等方式，支持制造业企业实施设备更新改造和智能升级。积极发挥融资租赁“以租代售”功能，支持制造业企业扩大销售和出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、创新发展符合制造业特点的信贷管理体制和金融产品体系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优化信贷管理体制。鼓励金融机构围绕制造业新型产业链和创新链，积极改进授信评价机制，创新金融产品和服务。合理考量制造业企业技术、人才、市场前景等“软信息”，将相关因素纳入银行客户信用评级体系，挖掘企业潜在价值。鼓励有条件的金融机构在风险可控、商业可持续的前提下，结合企业“三表”、“三单”、“两品”等非财务信息，运用信用贷款、知识产权质押贷款、股权质押贷款、应收账款质押贷款和以品牌为基础的商标专利权质押贷款等方式，积极满足创新型制造业企业和生产性服务业的资金需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大力发展产业链金融产品和服务。鼓励金融机构依托制造业产业链核心企业，积极开展仓单质押贷款、应收账款质押贷款、票据贴现、保理、国际国内信用证等各种形式的产业链金融业务，有效满足产业链上下游企业的融资需求。充分发挥人民银行应收账款融资服务平台的公共服务功能，降低银企对接成本。鼓励制造业核心企业、金融机构与人民银行应收账款融资服务平台进行对接，开发全流程、高效率的线上应收账款融资模式。研究推动制造业核心企业在银行间市场注册发行供应链融资票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推动投贷联动金融服务模式创新。稳妥有序推进投贷联动业务试点，鼓励和指导试点银行业金融机构以投贷联动方式，为科创型制造业企业提供持续资金支持，促进企业融资结构合理化，有效降低融资成本。建立银行及其投资功能子公司、政府贷款风险补偿基金、融资担保公司、保险公司间的风险分担和补偿机制，有效降低银行信贷风险。鼓励银行业金融机构与外部投资公司、各类基金开展合作，积极整合各自的资金、信息和管理优势，探索多样化的投贷联动业务，促进银企信息交流共享，实现合作共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完善制造业兼并重组的融资服务。推动金融机构对兼并重组企业实行综合授信。鼓励金融机构完善并购贷款业务，在综合考虑并购方的资信状况、经营管理能力、财务稳健性、自筹资本金充足情况，以及并购标的的市场前景、未来盈利、并购协同效应等因素的基础上，合理确定贷款期限和利率，支持企业通过兼并重组实现行业整合。允许符合条件的制造业企业通过发行优先股、可转换债券、并购债券等方式筹集兼并重组资金。鼓励证券公司、资产管理公司、股权投资基金以及产业投资基金等参与企业兼并重组，扩大企业兼并重组资金来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切实择优助强，有效防控风险。银行业金融机构要坚持独立审贷、自主决策、自担风险原则，择优支持有核心竞争力的产业聚集区和企业，注重从源头把控风险。要发挥银行业同业沟通、协调、自律作用，通过联合授信、银团贷款等方式，形成融资协同效应，切实防止多头授信、过度授信，避免一哄而上、重复建设形成新的过剩产能。支持制造业企业按照市场化、法制化原则实施债转股，合理加大股权融资力度，加强企业自身债务杠杆约束，降低企业杠杆率。要稳妥有序退出过剩产能领域，对冶金、建材、石化化工、船舶等行业中有市场、有效益、有技术、经营规范的企业和技改项目，要支持其合理信贷需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、大力发展多层次资本市场，加强对制造强国建设的资金支持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充分发挥股权融资作用。积极支持符合条件的优质、成熟制造业企业在主板市场上市融资，促进重点领域制造业企业做优做强。加快推进高技术制造业企业、先进制造业企业在中小企业板、创业板、全国中小企业股份转让系统和区域性股权交易市场上市或挂牌融资，充实中长期资本实力。在上市融资企业储备库里，对创新能力强、成长性好的制造业企业重点扶持。支持制造业企业在境外上市融资，提升中国制造业企业的国际竞争力。鼓励制造业企业通过资本市场并购重组，实现行业整合和布局调整优化，支持中西部地区承接产业转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三）促进创业投资持续健康发展。进一步完善扶持创业投资发展的政策体系，促进创业投资发展，有效弥补创新型、成长型制造业企业的融资缺口。鼓励种子基金等各类创业投资基金、天使投资人等创业投资主体加大对种子期、初创期创新型制造业企业的支持力度，通过提供企业管理、商业咨询、财务顾问等多元化服务，支持技术创新完成从科技研发到商业推广的成长历程。鼓励创业投资基金、产业投资基金投向“四基”领域重点项目。发挥先进制造业产业投资基金、国家新兴产业投资引导基金等作用，鼓励建立按市场化方式运作的各类高端装备创新发展基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四）支持制造业企业发行债券融资。充分发挥公司信用类债券部际协调机制作用，支持符合条件的制造业企业发行公司债、企业债、短期融资券、中期票据、永续票据、定向工具等直接融资工具，拓宽融资渠道，降低融资成本，调整债务结构。设计开发符合先进制造业和战略新兴产业特点的创新债券品种。支持高新技术产业开发区的园区运营机构发行双创专项债务融资工具，用于建设和改造园区基础设施，以及为入园入区制造业企业提供信用增信等服务。支持符合条件的优质制造业企业在注册发行分层分类管理体系下统一注册、自主发行多品种债务融资工具，提升储架发行便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五）支持制造业领域资产证券化。鼓励金融机构将符合国家产业政策、兼顾收益性和导向性的制造业领域信贷资产作为证券化基础资产，发行信贷资产证券化产品。鼓励制造业企业通过银行间市场发行资产支持票据，以及通过交易所市场开展企业资产证券化，改善企业流动性状况。大力推进高端技术装备、智能制造装备、节能及新能源装备等制造业融资租赁债权资产证券化，拓宽制造业融资租赁机构资金来源，更好服务企业技术升级改造。在依法合规、风险可控的前提下，鼓励符合条件的银行业金融机构稳妥开展不良资产证券化试点，主动化解制造业过剩产能领域信贷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、发挥保险市场作用，助推制造业转型升级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六）积极开发促进制造业发展的保险产品。进一步鼓励保险公司发展企业财产保险、科技保险、专利保险、安全生产责任保险等保险业务，为制造业提供多方面的风险保障。鼓励发展制造业贷款保证保险，支持轻资产科创型高技术企业发展壮大。大力发展产品质量责任保险，提高中国制造品牌信任度。深入推进首台（套）重大技术装备保险补偿机制试点工作，推动重大技术装备和关键零部件市场化应用。研究启动重点新材料首批次保险补偿机制试点工作。鼓励地方政府结合本地实际，建立符合本地制造业发展导向的保费补贴和风险补偿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七）扩大保险资金对制造业领域投资。积极发挥保险长期资金优势，在符合保险资金运用安全性和收益性的前提下，通过债权、股权、基金、资产支持计划等多种形式，为制造业转型升级提供低成本稳定资金来源。支持保险机构投资制造业企业发行的优先股、并购债券等新型金融工具。鼓励保险机构与银行业金融机构共享信息、优势互补，合作开展制造业领域股债结合、投贷联动等业务。鼓励有条件的保险机构投资设立制造业保险资产管理机构。允许保险资金投资制造业创业投资基金等私募基金。扩大中国保险投资基金对制造业转型升级项目的投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 、拓宽融资渠道，积极支持制造业企业“走出去”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八）拓宽制造业“走出去”的融资渠道。金融机构要根据企业“走出去”需要，进一步优化完善海外机构布局，提高全球化金融服务能力。要积极运用银团贷款、并购贷款、项目融资、出口信贷等多种方式，为制造业企业在境外开展业务活动提供多元化和个性化的金融服务。支持“走出去”企业以境外资产和股权等权益为抵押获得贷款，提高企业融资能力。支持制造业企业开展外汇资金池、跨境双向人民币资金池业务，支持制造业企业在全口径跨境融资宏观审慎管理政策框架下进行跨境融资。支持符合条件的境内制造业企业利用境外市场发行股票、债券和资产证券化产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九）完善对制造业企业“走出去”的支持政策。不断优化外汇管理，满足制造业企业“走出去”过程中真实、合理的购汇需求。支持制造业企业在对外经济活动中使用人民币计价结算，优化对外人民币贷款项目管理，鼓励企业使用人民币对外贷款和投资。推动设立人民币海外合作基金，为制造业企业“走出去”项目提供成本适当的人民币贷款或投资。鼓励进一步扩大短期出口信用保险规模，加大对中小微企业和新兴市场开拓的保障力度。发挥好中长期出口信用保险的风险保障作用，实现大型成套设备出口融资应保尽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 、加强政策协调和组织保障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深入推动产业和金融合作。建立和完善工业和信息化部、人民银行、银监会信息共享和工作联动机制，加强产业政策与金融政策的沟通协调。建立产融信息对接合作平台，促进产业政策信息、企业生产经营信息、金融产品信息交流共享。探索对制造业部分重点行业建立企业“白名单”制度，为金融机构落实差别化的信贷政策提供参考依据。开展产融合作城市试点，促进试点城市聚合产业资源、金融资源、政策资源，支持制造强国建设，鼓励和引导产融合作试点城市探索产业与金融良性互动、实现互利共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一）加大货币信贷政策的支持力度。保持货币政策稳健中性，综合运用多种流动性管理工具，加强预调微调，保持流动性水平合理适度，引导货币信贷平稳增长，营造良好的货币金融环境，为制造业企业加强技术创新、实现转型升级创造有利的外部条件。充分发挥再贷款、再贴现等货币政策工具的正向激励作用，对支持制造业转型升级工作成绩突出的金融机构要优先予以支持。进一步引导银行业金融机构完善存贷款利率定价机制，增强自主理性定价能力，合理确定对制造业企业的贷款利率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二）优化政策配套和协调配合。鼓励地方政府通过设立产业引导基金、股权投资引导基金，按照政府引导、市场化运作、专业化管理的原则，加大对先进制造业的投资力度，撬动各类社会资本支持制造业转型升级。积极探索多样化的信贷风险分担机制，通过设立风险补偿基金、政府性担保基金、应急转贷基金等方式，支持金融机构加大制造业领域的信贷投入。进一步完善银行与融资担保机构的合作机制，建立合理的企业贷款风险分担和利率协商机制。进一步加强社会信用体系建设，对恶意逃废债行为要给予严厉打击，维护金融机构合法权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三）加强监督引导和统计监测。建立金融支持制造强国建设工作的部际协调机制，加强信息沟通和监督引导。人民银行分支机构、银监会、证监会、保监会派出机构要根据当地产业发展实际情况，适时研究制定配套金融政策措施，切实加强对金融机构的指导。要依托行业主管部门支持，研究建立支持制造强国建设的金融统计制度，进一步加强对高技术制造业、先进制造业融资情况的统计监测分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请人民银行上海总部，各分行、营业管理部、省会（首府）城市中心支行、副省级城市中心支行会同所在省（区、市）工业和信息化主管部门、银监局、证监局、保监局等部门，将本意见联合转发至辖区内相关机构，并协调做好本意见的贯彻实施工作。</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p>
    <w:p>
      <w:pPr>
        <w:pStyle w:val="2"/>
        <w:numPr>
          <w:ilvl w:val="0"/>
          <w:numId w:val="0"/>
        </w:numPr>
        <w:ind w:left="922" w:leftChars="0" w:hanging="440" w:firstLineChars="0"/>
      </w:pPr>
      <w:bookmarkStart w:id="321" w:name="_Toc26293"/>
      <w:r>
        <w:rPr>
          <w:rFonts w:cs="宋体" w:asciiTheme="majorEastAsia" w:hAnsiTheme="majorEastAsia" w:eastAsiaTheme="majorEastAsia"/>
          <w:b/>
          <w:bCs/>
          <w:sz w:val="24"/>
          <w:szCs w:val="24"/>
          <w:lang w:val="en-US" w:eastAsia="zh-CN" w:bidi="ar-SA"/>
        </w:rPr>
        <w:t>92.</w:t>
      </w:r>
      <w:r>
        <w:rPr>
          <w:rFonts w:hint="eastAsia"/>
        </w:rPr>
        <w:t>《商业银行押品管理指引》</w:t>
      </w:r>
      <w:bookmarkEnd w:id="321"/>
    </w:p>
    <w:p>
      <w:pPr>
        <w:spacing w:after="156" w:afterLines="50" w:line="360" w:lineRule="auto"/>
        <w:ind w:firstLine="480" w:firstLineChars="200"/>
        <w:outlineLvl w:val="0"/>
        <w:rPr>
          <w:rFonts w:cs="宋体" w:asciiTheme="majorEastAsia" w:hAnsiTheme="majorEastAsia" w:eastAsiaTheme="majorEastAsia"/>
        </w:rPr>
      </w:pPr>
      <w:bookmarkStart w:id="322" w:name="_Toc3537"/>
      <w:r>
        <w:rPr>
          <w:rFonts w:hint="eastAsia" w:cs="宋体" w:asciiTheme="majorEastAsia" w:hAnsiTheme="majorEastAsia" w:eastAsiaTheme="majorEastAsia"/>
        </w:rPr>
        <w:t>发文机构：中国银行业监督管理委员会（已撤销）</w:t>
      </w:r>
      <w:bookmarkEnd w:id="322"/>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文号：银监发[2017]16号</w:t>
      </w:r>
      <w:r>
        <w:rPr>
          <w:rFonts w:hint="eastAsia" w:cs="宋体" w:asciiTheme="majorEastAsia" w:hAnsiTheme="majorEastAsia" w:eastAsiaTheme="majorEastAsia"/>
        </w:rPr>
        <w:tab/>
      </w:r>
    </w:p>
    <w:p>
      <w:pPr>
        <w:spacing w:after="156" w:afterLines="50" w:line="360" w:lineRule="auto"/>
        <w:ind w:firstLine="482" w:firstLineChars="200"/>
        <w:outlineLvl w:val="0"/>
        <w:rPr>
          <w:rFonts w:cs="宋体" w:asciiTheme="majorEastAsia" w:hAnsiTheme="majorEastAsia" w:eastAsiaTheme="majorEastAsia"/>
          <w:b/>
          <w:bCs/>
        </w:rPr>
      </w:pPr>
      <w:bookmarkStart w:id="323" w:name="_Toc21170"/>
      <w:r>
        <w:rPr>
          <w:rFonts w:hint="eastAsia" w:cs="宋体" w:asciiTheme="majorEastAsia" w:hAnsiTheme="majorEastAsia" w:eastAsiaTheme="majorEastAsia"/>
          <w:b/>
          <w:bCs/>
        </w:rPr>
        <w:t>第一章总则</w:t>
      </w:r>
      <w:bookmarkEnd w:id="32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为规范商业银行押品管理，根据《中华人民共和国银行业监督管理法》、《中华人民共和国商业银行法》、《中华人民共和国物权法》和《中华人民共和国担保法》等法律法规，制定本指引。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中华人民共和国境内依法设立的商业银行适用本指引。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本指引所称押品是指债务人或第三方为担保商业银行相关债权实现，抵押或质押给商业银行，用于缓释信用风险的财产或权利。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商业银行应将押品管理纳入全面风险管理体系，完善与押品管理相关的治理架构、管理制度、业务流程、信息系统等。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商业银行押品管理应遵循以下原则：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（一）合法性原则。押品管理应符合法律法规规定。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（二）有效性原则。抵质押担保手续完备，押品估值合理并易于处置变现，具有较好的债权保障作用。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（三）审慎性原则。充分考虑押品本身可能存在的风险因素，审慎制定押品管理政策，动态评估押品价值及风险缓释作用。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（四）从属性原则。商业银行使用押品缓释信用风险应以全面评估债务人的偿债能力为前提。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中国银监会对商业银行押品管理进行监督检查，对不能满足本指引要求的商业银行，视情况采取相应的监管措施。</w:t>
      </w:r>
    </w:p>
    <w:p>
      <w:pPr>
        <w:spacing w:after="156" w:afterLines="50" w:line="360" w:lineRule="auto"/>
        <w:ind w:firstLine="482" w:firstLineChars="200"/>
        <w:outlineLvl w:val="0"/>
        <w:rPr>
          <w:rFonts w:cs="宋体" w:asciiTheme="majorEastAsia" w:hAnsiTheme="majorEastAsia" w:eastAsiaTheme="majorEastAsia"/>
          <w:b/>
          <w:bCs/>
        </w:rPr>
      </w:pPr>
      <w:bookmarkStart w:id="324" w:name="_Toc29664"/>
      <w:r>
        <w:rPr>
          <w:rFonts w:hint="eastAsia" w:cs="宋体" w:asciiTheme="majorEastAsia" w:hAnsiTheme="majorEastAsia" w:eastAsiaTheme="majorEastAsia"/>
          <w:b/>
          <w:bCs/>
        </w:rPr>
        <w:t>第二章管理体系</w:t>
      </w:r>
      <w:bookmarkEnd w:id="32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商业银行应健全押品管理的治理架构，明确董事会、高级管理层、相关部门和岗位人员的押品管理职责。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董事会应督促高级管理层在全面风险管理体系框架下构建押品管理体系,切实履行押品管理职责。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高级管理层应规范押品管理制度流程，落实各项押品管理措施，确保押品管理体系与业务发展、风险管理水平相适应。</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商业银行应明确前、中、后台各业务部门的押品管理职责，内审部门应将押品管理纳入内部审计范畴定期进行审计。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商业银行应确定押品管理牵头部门，统筹协调押品管理，包括制定押品管理制度、推动信息化建设、开展风险监测、组织业务培训等。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商业银行应根据需要，设置押品价值评估、抵质押登记、保管等相关业务岗位，明确岗位职责，配备充足人员，确保相关人员具备必要的专业知识和业务能力。同时，应采取建立回避制度、流程化管理等措施防范操作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商业银行应健全押品管理制度和流程，明确可接受的押品类型、目录、抵质押率、估值方法及频率、担保设立及变更、存续期管理、返还和处置等相关要求。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商业银行应建立押品管理信息系统，持续收集押品类型、押品估值、抵质押率等相关信息，支持对押品及相关担保业务开展统计分析，动态监控押品债权保障作用和风险缓释能力，将业务管控规则嵌入信息系统，加强系统制约，防范抵质押业务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商业银行应真实、完整保存押品管理过程中产生的各类文档，包括押品调查文档、估值文档、存续期管理记录等相关资料，并易于检索和查询。</w:t>
      </w:r>
    </w:p>
    <w:p>
      <w:pPr>
        <w:spacing w:after="156" w:afterLines="50" w:line="360" w:lineRule="auto"/>
        <w:ind w:firstLine="482" w:firstLineChars="200"/>
        <w:outlineLvl w:val="0"/>
        <w:rPr>
          <w:rFonts w:cs="宋体" w:asciiTheme="majorEastAsia" w:hAnsiTheme="majorEastAsia" w:eastAsiaTheme="majorEastAsia"/>
          <w:b/>
          <w:bCs/>
        </w:rPr>
      </w:pPr>
      <w:bookmarkStart w:id="325" w:name="_Toc9617"/>
      <w:r>
        <w:rPr>
          <w:rFonts w:hint="eastAsia" w:cs="宋体" w:asciiTheme="majorEastAsia" w:hAnsiTheme="majorEastAsia" w:eastAsiaTheme="majorEastAsia"/>
          <w:b/>
          <w:bCs/>
        </w:rPr>
        <w:t>第三章风险管理</w:t>
      </w:r>
      <w:bookmarkEnd w:id="32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商业银行接受的押品应符合以下基本条件：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（一）押品真实存在；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（二）押品权属关系清晰，抵押（出质）人对押品具有处分权；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（三）押品符合法律法规规定或国家政策要求；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（四）押品具有良好的变现能力。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商业银行应至少将押品分为金融质押品、房地产、应收账款和其他押品等类别，并在此基础上进一步细分。同时，应结合本行业务实践和风控水平，确定可接受的押品目录，且至少每年更新一次。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商业银行应遵循客观、审慎原则，依据评估准则及相关规程、规范，明确各类押品的估值方法，并保持连续性。原则上，对于有活跃交易市场、有明确交易价格的押品，应参考市场价格确定押品价值。采用其他方法估值时，评估价值不能超过当前合理市场价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商业银行应根据不同押品的价值波动特性，合理确定价值重估频率，每年应至少重估一次。价格波动较大的押品应适当提高重估频率，有活跃交易市场的金融质押品应进行盯市估值。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商业银行应明确押品估值（包括重估）的责任主体以及估值流程，包括发起、评估、确认等相关环节。对于外部估值情形，其评估结果应由内部审核确认。</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商业银行应审慎确定各类押品的抵质押率上限，并根据经济周期、风险状况和市场环境及时调整。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抵质押率指押品担保本金余额与押品估值的比率：抵质押率=押品担保本金余额÷押品估值×100%。</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商业银行应建立动态监测机制，跟踪押品相关政策及行业、地区环境变化，分析其对押品价值的影响，及时发布预警信息，必要时采取相应措施。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商业银行应加强押品集中度管理，采取必要措施，防范因单一押品或单一种类押品占比过高产生的风险。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 商业银行应根据押品重要程度和风险状况，定期对押品开展压力测试，原则上每年至少进行一次，并根据测试结果采取相应的应对措施。</w:t>
      </w:r>
    </w:p>
    <w:p>
      <w:pPr>
        <w:spacing w:after="156" w:afterLines="50" w:line="360" w:lineRule="auto"/>
        <w:ind w:firstLine="482" w:firstLineChars="200"/>
        <w:outlineLvl w:val="0"/>
        <w:rPr>
          <w:rFonts w:cs="宋体" w:asciiTheme="majorEastAsia" w:hAnsiTheme="majorEastAsia" w:eastAsiaTheme="majorEastAsia"/>
          <w:b/>
          <w:bCs/>
        </w:rPr>
      </w:pPr>
      <w:bookmarkStart w:id="326" w:name="_Toc25275"/>
      <w:r>
        <w:rPr>
          <w:rFonts w:hint="eastAsia" w:cs="宋体" w:asciiTheme="majorEastAsia" w:hAnsiTheme="majorEastAsia" w:eastAsiaTheme="majorEastAsia"/>
          <w:b/>
          <w:bCs/>
        </w:rPr>
        <w:t>第四章押品调查与评估</w:t>
      </w:r>
      <w:bookmarkEnd w:id="32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 商业银行各类表内外业务采用抵质押担保的，应对押品情况进行调查与评估，主要包括受理、调查、估值、审批等环节。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 商业银行应明确抵押（出质）人需提供的材料范围，及时、全面收集押品相关信息和材料。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 商业银行应对抵押（出质）人以及押品情况进行调查并形成书面意见，内容包括但不限于押品权属及抵质押行为的合法性、押品及其权属证书的真实性、押品变现能力、押品与债务人风险的相关性,以及抵押（出质）人的担保意愿、与债务人的关联关系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 押品调查方式包括现场调查和非现场调查，原则上以现场调查为主，非现场调查为辅。</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 商业银行应按照既定的方法、频率、流程对押品进行估值，并将评估价值和变现能力作为业务审批的参考因素。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 下列情形下，押品应由外部评估机构进行估值：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（一）法律法规及政策规定、人民法院、仲裁机关等要求必须由外部评估机构估值的押品；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（二）监管部门要求由外部评估机构估值的押品；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（三）因估值技术性要求较高，本行不具备评估专业能力的押品；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（四）其他确需外部评估机构估值的押品。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第三十条 商业银行应明确外部评估机构的准入条件，选择符合法定要求、取得相应专业资质的评估机构，实行名单制管理，定期开展后评价，动态调整合作名单。原则上不接受名单以外的外部评估机构的估值结果，确需名单以外的外部评估机构估值的，应审慎控制适用范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第三十一条 商业银行应参考押品调查意见和估值结果，对抵质押业务进行审批。</w:t>
      </w:r>
    </w:p>
    <w:p>
      <w:pPr>
        <w:spacing w:after="156" w:afterLines="50" w:line="360" w:lineRule="auto"/>
        <w:ind w:firstLine="482" w:firstLineChars="200"/>
        <w:outlineLvl w:val="0"/>
        <w:rPr>
          <w:rFonts w:cs="宋体" w:asciiTheme="majorEastAsia" w:hAnsiTheme="majorEastAsia" w:eastAsiaTheme="majorEastAsia"/>
          <w:b/>
          <w:bCs/>
        </w:rPr>
      </w:pPr>
      <w:bookmarkStart w:id="327" w:name="_Toc16055"/>
      <w:r>
        <w:rPr>
          <w:rFonts w:hint="eastAsia" w:cs="宋体" w:asciiTheme="majorEastAsia" w:hAnsiTheme="majorEastAsia" w:eastAsiaTheme="majorEastAsia"/>
          <w:b/>
          <w:bCs/>
        </w:rPr>
        <w:t>第五章抵质押设立与存续期管理</w:t>
      </w:r>
      <w:bookmarkEnd w:id="32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第三十二条 商业银行办理抵质押担保业务时，应签订合法、有效的书面主合同及抵质押从合同，押品存续期限原则上不短于主债权期限。主从合同合一的，应在合同中明确抵质押担保事项。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第三十三条 对于法律法规规定抵质押权经登记生效或未经登记不得对抗第三人的押品，应按登记部门要求办理抵质押登记，取得他项权利证书或其他抵质押登记证明，确保抵质押登记真实有效。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第三十四条 对于法律规定以移交占有为质权生效要件的押品和应移交商业银行保管的权属证书，商业银行应办理转移占有的交付或止付手续，并采取必要措施，确保押品真实有效。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第三十五条 押品由第三方监管的，商业银行应明确押品第三方监管的准入条件，对合作的监管方实行名单制管理，加强日常监控，全面评价其管理能力和资信状况。对于需要移交第三方保管的押品，商业银行应与抵押（出质）人、监管方签订监管合同或协议，明确监管方的监管责任和违约赔偿责任。监管方应将押品与其他资产相分离，不得重复出具仓储单据或类似证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第三十六条 商业银行应明确押品及其权属证书的保管方式和操作要求，妥善保管抵押（出质）人依法移交的押品或权属证书。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第三十七条 商业银行应按规定频率对押品进行价值重估。出现下列情形之一的，即使未到重估时点，也应重新估值：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（一）押品市场价格发生较大波动；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（二）发生合同约定的违约事件；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（三）押品担保的债权形成不良；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（四）其他需要重估的情形。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第三十八条 发生可能影响抵质押权实现或出现其他需要补充变更押品的情形时，商业银行应及时采取补充担保等相关措施防范风险。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第三十九条 抵质押合同明确约定警戒线或平仓线的押品，商业银行应加强押品价格监控，触及警戒线时要及时采取防控措施，触及强制平仓条件时应按合同约定平仓。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第四十条 商业银行在对押品相关主合同办理展期、重组、担保方案变更等业务时，应确保抵质押担保的连续性和有效性，防止债权悬空。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第四十一条 商业银行应对押品管理情况进行定期或不定期检查，重点检查押品保管情况以及权属变更情况，排查风险隐患，评估相关影响，并以书面形式在相关报告中反映。原则上不低于每年一次。</w:t>
      </w:r>
    </w:p>
    <w:p>
      <w:pPr>
        <w:spacing w:after="156" w:afterLines="50" w:line="360" w:lineRule="auto"/>
        <w:ind w:firstLine="482" w:firstLineChars="200"/>
        <w:outlineLvl w:val="0"/>
        <w:rPr>
          <w:rFonts w:cs="宋体" w:asciiTheme="majorEastAsia" w:hAnsiTheme="majorEastAsia" w:eastAsiaTheme="majorEastAsia"/>
          <w:b/>
          <w:bCs/>
        </w:rPr>
      </w:pPr>
      <w:bookmarkStart w:id="328" w:name="_Toc4551"/>
      <w:r>
        <w:rPr>
          <w:rFonts w:hint="eastAsia" w:cs="宋体" w:asciiTheme="majorEastAsia" w:hAnsiTheme="majorEastAsia" w:eastAsiaTheme="majorEastAsia"/>
          <w:b/>
          <w:bCs/>
        </w:rPr>
        <w:t>第六章押品返还与处置</w:t>
      </w:r>
      <w:bookmarkEnd w:id="328"/>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第四十二条 出现下列情形之一的，商业银行应办理抵质押注销登记手续，返还押品或权属证书：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（一）抵质押担保合同履行完毕，押品所担保的债务已经全部清偿；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（二）人民法院解除抵质押担保裁判生效；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（三）其他法定或约定情形。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第四十三条 商业银行向受让方转让抵质押担保债权的，应协助受让方办理担保变更手续。</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第四十四条 债务人未能按期清偿押品担保的债务或发生其他风险状况的，商业银行应根据合同约定，按照损失最小化原则，合理选择行使抵质押权的时机和方式，通过变卖、拍卖、折价等合法方式及时行使抵质押权，或通过其他方式保障合同约定的权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第四十五条 处置押品回收的价款超过合同约定主债权金额、利息、违约金、损害赔偿金和实现债权的相关费用的，商业银行应依法将超过部分退还抵押（出质）人；价款低于合同约定主债权本息及相关费用的，不足部分依法由债务人清偿。</w:t>
      </w:r>
    </w:p>
    <w:p>
      <w:pPr>
        <w:spacing w:after="156" w:afterLines="50" w:line="360" w:lineRule="auto"/>
        <w:ind w:firstLine="482" w:firstLineChars="200"/>
        <w:outlineLvl w:val="0"/>
        <w:rPr>
          <w:rFonts w:cs="宋体" w:asciiTheme="majorEastAsia" w:hAnsiTheme="majorEastAsia" w:eastAsiaTheme="majorEastAsia"/>
          <w:b/>
          <w:bCs/>
        </w:rPr>
      </w:pPr>
      <w:bookmarkStart w:id="329" w:name="_Toc16189"/>
      <w:r>
        <w:rPr>
          <w:rFonts w:hint="eastAsia" w:cs="宋体" w:asciiTheme="majorEastAsia" w:hAnsiTheme="majorEastAsia" w:eastAsiaTheme="majorEastAsia"/>
          <w:b/>
          <w:bCs/>
        </w:rPr>
        <w:t>第七章附则</w:t>
      </w:r>
      <w:bookmarkEnd w:id="329"/>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第四十六条 本指引由中国银监会负责解释。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第四十七条 中国银监会监管的其他银行业金融机构参照本指引执行。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第四十八条 本指引自印发之日起施行。</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p>
    <w:p>
      <w:pPr>
        <w:pStyle w:val="2"/>
        <w:numPr>
          <w:ilvl w:val="0"/>
          <w:numId w:val="0"/>
        </w:numPr>
        <w:ind w:left="922" w:leftChars="0" w:hanging="440" w:firstLineChars="0"/>
      </w:pPr>
      <w:bookmarkStart w:id="330" w:name="_Toc28631"/>
      <w:r>
        <w:rPr>
          <w:rFonts w:cs="宋体" w:asciiTheme="majorEastAsia" w:hAnsiTheme="majorEastAsia" w:eastAsiaTheme="majorEastAsia"/>
          <w:b/>
          <w:bCs/>
          <w:sz w:val="24"/>
          <w:szCs w:val="24"/>
          <w:lang w:val="en-US" w:eastAsia="zh-CN" w:bidi="ar-SA"/>
        </w:rPr>
        <w:t>93.</w:t>
      </w:r>
      <w:r>
        <w:rPr>
          <w:rFonts w:hint="eastAsia"/>
        </w:rPr>
        <w:t>《提高小微企业信贷服务效率合理压缩获得信贷时间实施方案》</w:t>
      </w:r>
      <w:bookmarkEnd w:id="33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文号：银监办发〔2017〕61号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落实《国务院办公厅关于印发进一步简化流程提高效率优化营商环境工作方案的通知》（国办函〔2016〕70号，以下简称《通知》）要求，进一步改进银行业小微企业信贷服务，提高服务效率，合理压缩获得信贷时间，优化营商环境，根据国务院有关金融支持小微企业发展的政策文件精神，制定本实施方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、基本原则和主要目标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（一）基本原则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1.注重激发银行内生动力。在守住风险底线的基础上发挥监管政策正向激励作用，鼓励银行主动创新，提升信贷服务质效。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2.注重建立长效机制。将《通知》要求贯穿到日常监管督导中，在体现政策创新的同时，持续抓好细化落实。</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3.注重政策统筹推进。在梳理国务院近年相关文件内容的基础上，突出压缩获得信贷时间，整合政策措施，务求实效。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（二）主要目标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1.2017年继续努力实现小微企业贷款“三个不低于”目标，即：小微企业贷款增速不低于各项贷款平均增速，小微企业贷款户数不低于上年同期户数，小微企业申贷获得率不低于上年同期水平。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2.督促商业银行制定完善小微企业续贷制度办法。在银行内部环节努力实现符合条件的小微企业贷款到期续贷“无缝对接”。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、具体工作任务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（三）继续加大信贷投放力度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商业银行要围绕“三个不低于”总体目标，单列全年小微企业信贷计划，并层层细分落实责任。执行过程中不得挤占挪用。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（四）继续完善信贷服务机构网点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鼓励大中型银行在有效防控风险的前提下，赋予县支行合理的信贷业务权限,结合自身实际，将一定额度的低信用风险信贷业务审批权逐步下沉至县支行，使其决策更加贴近县域市场和客户。支持地方性法人银行向社区、县域以下等基层区域增设小微支行、社区支行，进一步整合和倾斜资源配置，提高小微企业信贷投放效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（五）推动信贷服务与“互联网+”融合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鼓励商业银行运用手机银行、网上银行、移动终端等新渠道，提高信贷服务便利度。利用大数据工具改进内部信息管理系统，探索对接外部数据资源，提升客户挖掘、信息采集与分析能力。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（六）改进信贷管理制度和流程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引导商业银行改造小微企业信贷流程和信用评价模型，合理设定授信审批条件，提高审批效率。鼓励商业银行对符合相关条件的小微企业客户，探索运用零售业务管理技术，在合理评估风险的前提下，优化小微企业贷款审批政策和流程。鼓励商业银行为小微企业合理设置流动资金贷款期限,研发适合小微企业的中长期固定资产贷款产品。支持有条件的商业银行在风险可控、审慎经营的前提下，在内部管理与操作流程中对小微企业贷款办理时限做出明确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（七）允许自主确定小微企业贷款支付方式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商业银行可在风险可控的前提下自主确定小微企业贷款资金支付方式。因特殊情况确实不能进行受托支付的，应经过合理的审核流程，充分发挥相关岗位的制衡作用，做好风险防控，加强贷后管理和检查工作。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（八）优化续贷业务办理流程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对于流动资金周转贷款到期后仍有融资需求的小微企业，支持商业银行提前介入贷款调查和评审，在守住风险底线的基础上，按照续贷相关监管政策要求，推广无还本续贷业务。商业银行应就办理续贷业务完善内部配套制度，制定具体办法。商业银行可在落实小微企业续贷监管政策的基础上，根据自身风险管控水平和信贷管理制度，自主决定办理续贷业务的范围。积极推广循环贷款、年审制贷款、分期还本付息等贷款产品和服务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（九）完善落实不良容忍度和尽职免责要求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小微贷款不良率高出自身各项贷款不良率年度目标2个百分点以内的，或小微企业贷款不良率不高于3.5%的，可不作为监管部门监管评级和银行内部考核评价的扣分因素。督促商业银行抓紧落实小微企业授信尽职免责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、监督与保障措施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（十）继续加大监管督导力度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各级监管机构要继续提高对银行业小微企业金融服务的监测考核频度，将优化信贷审批流程、提升信贷服务效率纳入日常考察评价范畴。要对银行业落实小微企业续贷政策情况开展督导。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（十一）注意总结推广经验模式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级监管机构要积极联动工商、税务等部门，协同推动扩大企业信用信息收集和共享渠道，持续改善信贷服务的外部环境。要组织银行业金融机构总结行业内运用新技术、创新服务方式、优化审批流程、压缩信贷获得时间的典型模式，开展交流学习。银监局要主动与地方政府密切沟通，梳理政府推进金融服务基础设施建设、便利银行信贷服务的良好经验，加强推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（十二）加强调研评估和政策研究</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各级监管机构要适时联动相关部门，就银行业金融机构提升信贷服务效率情况开展专题调研，评估政策落实效果，梳理意见建议。在此基础上，抓紧研究进一步完善差异化监管政策措施和指标体系，加大监管引领与激励力度。</w:t>
      </w:r>
    </w:p>
    <w:p>
      <w:pPr>
        <w:pStyle w:val="2"/>
        <w:numPr>
          <w:ilvl w:val="0"/>
          <w:numId w:val="0"/>
        </w:numPr>
        <w:ind w:left="922" w:leftChars="0" w:hanging="440" w:firstLineChars="0"/>
      </w:pPr>
      <w:bookmarkStart w:id="331" w:name="_Toc27715"/>
      <w:r>
        <w:rPr>
          <w:rFonts w:cs="宋体" w:asciiTheme="majorEastAsia" w:hAnsiTheme="majorEastAsia" w:eastAsiaTheme="majorEastAsia"/>
          <w:b/>
          <w:bCs/>
          <w:sz w:val="24"/>
          <w:szCs w:val="24"/>
          <w:lang w:val="en-US" w:eastAsia="zh-CN" w:bidi="ar-SA"/>
        </w:rPr>
        <w:t>94.</w:t>
      </w:r>
      <w:r>
        <w:rPr>
          <w:rFonts w:hint="eastAsia"/>
        </w:rPr>
        <w:t>《中国银监会关于规范银信类业务的通知》</w:t>
      </w:r>
      <w:bookmarkEnd w:id="331"/>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文号：银监发〔2017〕55号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各银监局，各政策性银行、大型银行、股份制银行，邮储银行，外资银行，中国信托登记有限责任公司：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近年来，银信类业务增长较快，其中银信通道业务占比较高，存在一定风险隐患。为促进银信类业务规范健康发展，防范金融风险，保护投资者合法权益，现就有关事项通知如下：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、本通知所指银信类业务，是指商业银行作为委托人，将表内外资金或资产（收益权）委托给信托公司，投资或设立资金信托或财产权信托，由信托公司按照信托文件的约定进行管理、运用和处分的行为。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通知所指银信通道业务，是指在银信类业务中，商业银行作为委托人设立资金信托或财产权信托，信托公司仅作为通道，信托资金或信托资产的管理、运用和处分均由委托人决定，风险管理责任和因管理不当导致的风险损失全部由委托人承担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商业银行在银信类业务中，应按照实质重于形式原则，将商业银行实际承担信用风险的业务纳入统一授信管理并落实授信集中度监管要求。商业银行应对实质承担信用风险的银信类业务进行分类，按照穿透管理要求，根据基础资产的风险状况进行风险分类，并结合基础资产的性质，准确计提资本和拨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、商业银行对于银信通道业务，应还原其业务实质进行风险管控，不得利用信托通道掩盖风险实质，规避资金投向、资产分类、拨备计提和资本占用等监管规定，不得通过信托通道将表内资产虚假出表。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、商业银行应当在银信类业务中，对信托公司实施名单制管理，综合考虑信托公司的风险管理水平和专业投资能力，审慎选择交易对手。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商业银行应当根据客户和自身的风险偏好和承受能力，选择与之相适应的信托公司及信托产品；在选择信托产品时，应注意期限、金额等方面的安排，与自身流动性管理相匹配。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、信托公司在银信类业务中，不应盲目追求规模和速度，应积极转变发展方式，通过发挥信托制度优势和提高专业管理能力，为委托方银行提供实质金融服务，立足信托本源支持实体经济发展。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 、信托公司在银信类业务中，应履行勤勉尽责的受托责任，加强尽职调查，确保信托目的合法合规，不得接受委托方银行直接或间接提供的担保，不得与委托方银行签订抽屉协议，不得为委托方银行规避监管规定或第三方机构违法违规提供通道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 、商业银行和信托公司开展银信类业务，应贯彻落实国家宏观调控政策，遵守相关法律法规，不得将信托资金违规投向房地产、地方政府融资平台、股票市场、产能过剩等限制或禁止领域。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 、中国信托登记有限责任公司应持续加强信托产品登记平台建设，强化信托产品信息披露，促使合同条款阳光化、交易结构清晰化，提高信托业务的透明度和规范化水平，增强市场约束。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 、银监会及其派出机构应加强银信类业务的非现场监管和现场检查，对业务增长较快、风险较高的银行和信托公司进行窗口指导和风险提示。依法对银信类业务违规行为采取按业务实质补提资本和拨备、实施行政处罚等监管措施。银监会将进一步研究明确提高信托公司通道业务监管要求的措施办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 、各银监局应强化属地监管责任，切实加强对银信类业务的日常监管，对银信类业务中存在的各类问题要及时核查并严肃问责处理，情节严重的要从重处罚，确保银行业金融机构整改落实到位，相关情况应及时报告银监会。</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2017年11月22日</w:t>
      </w:r>
    </w:p>
    <w:p>
      <w:pPr>
        <w:pStyle w:val="2"/>
        <w:numPr>
          <w:ilvl w:val="0"/>
          <w:numId w:val="0"/>
        </w:numPr>
        <w:ind w:left="922" w:leftChars="0" w:hanging="440" w:firstLineChars="0"/>
      </w:pPr>
      <w:bookmarkStart w:id="332" w:name="_Toc24769"/>
      <w:r>
        <w:rPr>
          <w:rFonts w:cs="宋体" w:asciiTheme="majorEastAsia" w:hAnsiTheme="majorEastAsia" w:eastAsiaTheme="majorEastAsia"/>
          <w:b/>
          <w:bCs/>
          <w:sz w:val="24"/>
          <w:szCs w:val="24"/>
          <w:lang w:val="en-US" w:eastAsia="zh-CN" w:bidi="ar-SA"/>
        </w:rPr>
        <w:t>95.</w:t>
      </w:r>
      <w:r>
        <w:rPr>
          <w:rFonts w:hint="eastAsia"/>
        </w:rPr>
        <w:t>《中国人民银行关于进一步加强征信信息安全管理的通知》</w:t>
      </w:r>
      <w:bookmarkEnd w:id="33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发文机构：中国人民银行</w:t>
      </w:r>
      <w:r>
        <w:rPr>
          <w:rFonts w:hint="eastAsia" w:cs="宋体" w:asciiTheme="majorEastAsia" w:hAnsiTheme="majorEastAsia" w:eastAsiaTheme="majorEastAsia"/>
        </w:rPr>
        <w:tab/>
      </w:r>
      <w:r>
        <w:rPr>
          <w:rFonts w:hint="eastAsia" w:cs="宋体" w:asciiTheme="majorEastAsia" w:hAnsiTheme="majorEastAsia" w:eastAsiaTheme="majorEastAsia"/>
        </w:rPr>
        <w:t>文号：银发〔2018〕102号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中国人民银行上海总部，各分行、营业管理部，各省会（首府）城市中心支行，各副省级城市中心支行；国家开发银行，各政策性银行、国有商业银行、股份制商业银行，中国邮政储蓄银行：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贯彻落实党的十九大精神和第五次全国金融工作会议精神，加强个人信息保护，做好新时代征信信息安全管理工作，切实保护信息主体合法权益，提升人民群众在征信领域的幸福感和安全感，依据《征信业管理条例》、《个人信用信息基础数据库管理暂行办法》（中国人民银行令〔2005〕第3号发布）等法规规章的相关规定，现就进一步加强金融信用信息基础数据库运行机构和接入机构（以下简称运行机构和接入机构）征信信息安全管理有关事项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一、切实增强征信信息安全管理意识，强化征信信息安全主体责任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运行机构和接入机构要清醒认识当前征信信息安全面临的严峻形势，切实增强征信信息安全管理意识。建立健全征信信息安全管理的体制和机制，成立征信信息安全工作领导小组，明确岗位职责，强化征信信息安全主体责任，按照“分级管理、逐级负责”和“谁主管谁负责、谁使用谁负责”的原则，明确领导层中分管征信工作的负责人为第一责任人，征信系统及相关信息系统的使用人为直接责任人，并明确第一责任人、直接责任人和其他相关人员的责任分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二、完善征信业务操控流程，不断提高征信信息安全管理水平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运行机构和接入机构要切实加强对征信各级管理人员和从业人员的全员征信合规性教育培训，围绕征信信息安全管理，通过加强征信系统用户管理、健全征信信息查询管理、优化自助查询机管理、完善征信异常查询监控机制、妥善办理异议与投诉等措施，完善征信业务操控流程，牢牢守住不发生征信信息安全风险的底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（一）从严加强征信系统用户管理。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运行机构和接入机构应严格遵循相关规定办理用户的创建、停用和启用，根据“最小授权”原则分配各类、各级用户的权限，严格用户权限设置，将用户权限控制在业务需要的最小范围内。杜绝创建公共账户或者类公共账户，切实做到人户统一、专人专用，及时停用和启用用户，实施用户密码动态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运行机构和接入机构应不断更新技术保障措施，加强对各级征信系统用户运行情况的实时监控。分级负责，明确责任，技防和人防相结合，在制度措施保障上不留真空和死角。</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（二）健全征信信息查询管理。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运行机构和接入机构要健全征信信息查询管理，严格授权查询机制，未经授权严禁查询征信报告，规范内部人员和国家机关查询办理流程，严禁未经授权认可的APP接入征信系统。从严管理批量数据，按照合法、正当、必要的原则，严格按流程和保密要求办理批量数据的抽取、留存、流转、应用和销毁，确保各环节数据安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（三）优化自助查询机管理。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运行机构和接入机构应优化自助查询机用户管理，明确自助查询机用户管理权限，及时停用或者删除无效用户；加强访问控制，为自助查询机单独划分网段，根据工作时间和查询需要，合理设置自助查询机自动关机时间；采购自助查询机时，完善合同内容，明确设备提供商的保密责任；健全自助查询机物理设备管理，明确自助查询机管理责任主体，对设备加强维护，按流程及时清理自助查询机内部存储的征信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（四）完善征信异常查询监控机制，妥善办理异议与投诉。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运行机构和接入机构应分级建立征信用户查询操作日核查机制，完善异常查询监控、处置与报告机制；不断优化和调整征信查询日核查与实时监控指标，不断提高征信用户自查与自控的能力。严格遵守异议处理时间，规范异议处理流程，按规定出具相关文书，做好异议申请、处理资料的保存、归档；强化投诉办理，规范投诉流程，及时办理信息主体投诉，提高信息主体的满意度。以异议和投诉为重要线索，对可能涉及的征信信息安全风险事件及时进行全面排查，及时发现问题和排除隐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三、查漏补缺，补齐短板，完善征信内控制度及问责制度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运行机构和接入机构应结合自身实际对自身的征信内控制度及问责制度进行全面自建自查，查漏补缺，补齐短板，并重点从以下三个方面加以完善：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（一）建立征信内控制度及问责制度的报备制度。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自本通知发布之日起，运行机构和接入机构应在30个工作日内，向人民银行报备经本机构法定代表人或者主要负责人签字并加盖公章的征信合规与信息安全内控制度及问责制度。运行机构及全国性接入机构（名单见附件1）的总行向人民银行征信管理局报备，地方性接入机构和全国性接入机构的分支机构向所在地人民银行分支机构报备。征信内控制度及问责制度变更的，应当自变更之日起10日内向人民银行报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（二）建立征信信息安全情况报告制度。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运行机构和接入机构应按月定期向人民银行报送异常查询、违规查询、非法提供、违规使用、信用报告泄漏等征信信息安全情况统计表（见附件2）。未发生征信信息安全风险事件的，应采取零报告制度（即在表中填报“0”）。发生征信信息安全风险事件的，应立即上报相关情况。全国性接入机构的总行应于每月初10日内将上月情况报送人民银行征信管理局；地方性接入机构和全国性接入机构的分支机构应于每月初6日内将上月情况报所在地人民银行分支机构；人民银行副省级城市中心支行以上分支机构应于每月初10日内将汇总的辖区内上月情况（包括人民银行分支机构征信查询点情况）报送征信管理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（三）建立征信合规与信息安全自查自纠制度及报告制度。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运行机构和接入机构应建立分级监控、专项核查的工作机制，按照征信内控制度的规定，对日常监测发现的风险线索以及异常查询线索，与对应的信贷业务进行逐笔核实，从授权、审核、查询、使用、存储等各环节梳理是否存在征信违规风险隐患，不定期组织抽查，建立健全征信合规与信息安全自查自纠制度，并向人民银行报备，报备流程参照征信内控制度及问责制度的报备要求。按季度开展内部征信合规和信息安全自查自纠，并将自查自纠情况向人民银行书面报告，报告流程参照征信信息安全事件的报告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四、提高技防能力，防范征信信息泄露风险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运行机构和接入机构应不断优化升级征信业务信息系统，提升前置自控能力，推进业务触发式查询，实现信用报告脱敏展示、结构化展示和自动解读，从严控制信用报告打印、下载，从查询、使用和存储环节降低征信信息泄露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五、建立征信信息安全事件应急处置机制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运行机构、接入机构和人民银行分支机构应逐级建立征信信息安全事件应急处置机制，成立由业务、技术、法律、宣传等方面专业人员组成的应急处置工作小组，制定应急处置方案，并自本通知发布之日起30个工作日内将应急处置方案向人民银行报备。报备流程参照征信内控制度及问责制度的报备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六、建立征信合规与信息安全年度考核评级制度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人民银行建立接入机构征信合规与信息安全年度考核评级制度（见附件3）。对接入机构的考核评级结果，将作为实施征信现场执法检查、中央银行对金融机构内部评级、对征信查询服务费用实行优惠、调整对征信系统的查询权限、确定金融机构存款保险评级结果和核定金融机构存款保险费率等的重要依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七、建立征信信息安全巡查制度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人民银行围绕上述政策措施的贯彻落实情况，针对运行机构和接入机构建立健全征信信息安全巡查制度，将巡查结论作为启动执法检查程序等的重要依据。同时，建立征信信息安全巡查内部通报制度（见附件4）。</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八、从严强化征信监管，确保征信信息安全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人民银行采取综合措施，统筹推进对运行机构和接入机构的征信监管，防范征信信息泄露风险，确保征信信息安全。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（一）强化非现场监管。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运行机构和接入机构报备的上述征信内控制度及问责制度、征信合规与信息安全自查自纠制度、征信信息安全事件应急处置方案，报告的征信信息安全事件、征信合规与信息安全自查自纠情况以及考核评级与巡查结论，均作为人民银行非现场监管的内容。对非现场监管涉及内容的真实性，人民银行将通过现场执法检查予以确认。对存在未报、漏报、虚报、瞒报情况的机构，将重点开展现场执法检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（二）加大现场执法检查力度。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人民银行随机对接入机构全员征信合规教育轮训情况、征信内控问责情况以及征信法规制度遵守情况进行现场执法检查，并将存在问题的机构纳入重点监管对象。对涉嫌违法违规行为的机构和人员，视情况采取监管约谈、责令限期整改、现场执法检查、在金融系统内部予以通报、向干部管理部门和纪检监察部门通报等措施，并依法从严实施行政处罚，全方位正风肃纪，促使其依法依规履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（三）加大违法违规成本。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对接入机构的考核评级结果、巡查结论和现场执法检查结论，将作为确定金融机构存款保险评级结果、核定金融机构存款保险费率和征信服务收费优惠与否等的重要依据；对于问题严重的机构，人民银行责成其调整其用户管理权限，直至暂停为其提供征信查询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其他征信机构、信用评级机构及其接入机构的征信信息安全管理，参照本通知执行。</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请人民银行副省级城市中心支行以上分支机构将本通知转发至辖区内接入机构、其他征信机构和信用评级机构。</w:t>
      </w:r>
    </w:p>
    <w:p>
      <w:pPr>
        <w:spacing w:after="156" w:afterLines="50" w:line="360" w:lineRule="auto"/>
        <w:ind w:firstLine="480" w:firstLineChars="200"/>
        <w:rPr>
          <w:rFonts w:cs="宋体" w:asciiTheme="majorEastAsia" w:hAnsiTheme="majorEastAsia" w:eastAsiaTheme="majorEastAsia"/>
          <w:lang w:val="zh-CN"/>
        </w:rPr>
      </w:pPr>
      <w:r>
        <w:rPr>
          <w:rFonts w:cs="宋体" w:asciiTheme="majorEastAsia" w:hAnsiTheme="majorEastAsia" w:eastAsiaTheme="majorEastAsia"/>
          <w:lang w:val="zh-CN"/>
        </w:rPr>
        <w:t>附件1：</w:t>
      </w:r>
    </w:p>
    <w:p>
      <w:pPr>
        <w:spacing w:after="156" w:afterLines="50" w:line="360" w:lineRule="auto"/>
        <w:ind w:firstLine="482" w:firstLineChars="200"/>
        <w:outlineLvl w:val="0"/>
        <w:rPr>
          <w:rFonts w:cs="宋体" w:asciiTheme="majorEastAsia" w:hAnsiTheme="majorEastAsia" w:eastAsiaTheme="majorEastAsia"/>
          <w:b/>
          <w:bCs/>
          <w:lang w:val="zh-CN"/>
        </w:rPr>
      </w:pPr>
      <w:bookmarkStart w:id="333" w:name="No54"/>
      <w:bookmarkEnd w:id="333"/>
      <w:bookmarkStart w:id="334" w:name="_Toc18613"/>
      <w:r>
        <w:rPr>
          <w:rFonts w:cs="宋体" w:asciiTheme="majorEastAsia" w:hAnsiTheme="majorEastAsia" w:eastAsiaTheme="majorEastAsia"/>
          <w:b/>
          <w:bCs/>
          <w:lang w:val="zh-CN"/>
        </w:rPr>
        <w:t>全国性接入机构名单</w:t>
      </w:r>
      <w:bookmarkEnd w:id="334"/>
    </w:p>
    <w:p>
      <w:pPr>
        <w:spacing w:after="156" w:afterLines="50" w:line="360" w:lineRule="auto"/>
        <w:ind w:firstLine="480" w:firstLineChars="200"/>
        <w:rPr>
          <w:rFonts w:cs="宋体" w:asciiTheme="majorEastAsia" w:hAnsiTheme="majorEastAsia" w:eastAsiaTheme="majorEastAsia"/>
          <w:lang w:val="zh-CN"/>
        </w:rPr>
      </w:pPr>
      <w:bookmarkStart w:id="335" w:name="No55"/>
      <w:bookmarkEnd w:id="335"/>
      <w:r>
        <w:rPr>
          <w:rFonts w:cs="宋体" w:asciiTheme="majorEastAsia" w:hAnsiTheme="majorEastAsia" w:eastAsiaTheme="majorEastAsia"/>
          <w:lang w:val="zh-CN"/>
        </w:rPr>
        <w:t>国家开发银行、进出口银行、农业发展银行、中国工商银行、中国农业银行、中国银行、中国建设银行、交通银行、中信银行、中国光大银行、华夏银行、中国民生银行、招商银行、兴业银行、广发银行、平安银行、浦发银行、恒丰银行、浙商银行、渤海银行、中国邮政储蓄银行</w:t>
      </w:r>
    </w:p>
    <w:p>
      <w:pPr>
        <w:spacing w:after="156" w:afterLines="50" w:line="360" w:lineRule="auto"/>
        <w:ind w:firstLine="480" w:firstLineChars="200"/>
        <w:rPr>
          <w:rFonts w:cs="宋体" w:asciiTheme="majorEastAsia" w:hAnsiTheme="majorEastAsia" w:eastAsiaTheme="majorEastAsia"/>
          <w:lang w:val="zh-CN"/>
        </w:rPr>
      </w:pPr>
      <w:bookmarkStart w:id="336" w:name="No56_F1"/>
      <w:bookmarkEnd w:id="336"/>
      <w:r>
        <w:rPr>
          <w:rFonts w:cs="宋体" w:asciiTheme="majorEastAsia" w:hAnsiTheme="majorEastAsia" w:eastAsiaTheme="majorEastAsia"/>
          <w:lang w:val="zh-CN"/>
        </w:rPr>
        <w:t>附件2：</w:t>
      </w:r>
    </w:p>
    <w:p>
      <w:pPr>
        <w:spacing w:after="156" w:afterLines="50" w:line="360" w:lineRule="auto"/>
        <w:ind w:firstLine="482" w:firstLineChars="200"/>
        <w:rPr>
          <w:rFonts w:cs="宋体" w:asciiTheme="majorEastAsia" w:hAnsiTheme="majorEastAsia" w:eastAsiaTheme="majorEastAsia"/>
          <w:b/>
          <w:bCs/>
          <w:lang w:val="zh-CN"/>
        </w:rPr>
      </w:pPr>
      <w:bookmarkStart w:id="337" w:name="No57"/>
      <w:bookmarkEnd w:id="337"/>
      <w:r>
        <w:rPr>
          <w:rFonts w:cs="宋体" w:asciiTheme="majorEastAsia" w:hAnsiTheme="majorEastAsia" w:eastAsiaTheme="majorEastAsia"/>
          <w:b/>
          <w:bCs/>
          <w:lang w:val="zh-CN"/>
        </w:rPr>
        <w:t>征信信息安全情况统计表</w:t>
      </w:r>
    </w:p>
    <w:p>
      <w:pPr>
        <w:spacing w:after="156" w:afterLines="50" w:line="360" w:lineRule="auto"/>
        <w:ind w:firstLine="480" w:firstLineChars="200"/>
        <w:rPr>
          <w:rFonts w:cs="宋体" w:asciiTheme="majorEastAsia" w:hAnsiTheme="majorEastAsia" w:eastAsiaTheme="majorEastAsia"/>
          <w:lang w:val="zh-CN"/>
        </w:rPr>
      </w:pPr>
      <w:bookmarkStart w:id="338" w:name="No58"/>
      <w:bookmarkEnd w:id="338"/>
      <w:r>
        <w:rPr>
          <w:rFonts w:cs="宋体" w:asciiTheme="majorEastAsia" w:hAnsiTheme="majorEastAsia" w:eastAsiaTheme="majorEastAsia"/>
          <w:lang w:val="zh-CN"/>
        </w:rPr>
        <w:t>****年**月</w:t>
      </w:r>
    </w:p>
    <w:p>
      <w:pPr>
        <w:spacing w:after="156" w:afterLines="50" w:line="360" w:lineRule="auto"/>
        <w:ind w:firstLine="480" w:firstLineChars="200"/>
        <w:rPr>
          <w:rFonts w:cs="宋体" w:asciiTheme="majorEastAsia" w:hAnsiTheme="majorEastAsia" w:eastAsiaTheme="majorEastAsia"/>
          <w:lang w:val="zh-CN"/>
        </w:rPr>
      </w:pPr>
      <w:bookmarkStart w:id="339" w:name="No59"/>
      <w:bookmarkEnd w:id="339"/>
      <w:r>
        <w:rPr>
          <w:rFonts w:cs="宋体" w:asciiTheme="majorEastAsia" w:hAnsiTheme="majorEastAsia" w:eastAsiaTheme="majorEastAsia"/>
          <w:lang w:val="zh-CN"/>
        </w:rPr>
        <w:t>填表单位：***签发人：***</w:t>
      </w:r>
    </w:p>
    <w:tbl>
      <w:tblPr>
        <w:tblStyle w:val="20"/>
        <w:tblW w:w="5000" w:type="pct"/>
        <w:tblInd w:w="0" w:type="dxa"/>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0" w:type="dxa"/>
          <w:left w:w="0" w:type="dxa"/>
          <w:bottom w:w="0" w:type="dxa"/>
          <w:right w:w="0" w:type="dxa"/>
        </w:tblCellMar>
      </w:tblPr>
      <w:tblGrid>
        <w:gridCol w:w="1000"/>
        <w:gridCol w:w="1135"/>
        <w:gridCol w:w="1275"/>
        <w:gridCol w:w="1133"/>
        <w:gridCol w:w="994"/>
        <w:gridCol w:w="852"/>
        <w:gridCol w:w="989"/>
        <w:gridCol w:w="944"/>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1283" w:type="pct"/>
            <w:gridSpan w:val="2"/>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bookmarkStart w:id="340" w:name="No60"/>
            <w:bookmarkEnd w:id="340"/>
            <w:r>
              <w:rPr>
                <w:rFonts w:hint="eastAsia" w:cs="宋体" w:asciiTheme="majorEastAsia" w:hAnsiTheme="majorEastAsia" w:eastAsiaTheme="majorEastAsia"/>
                <w:color w:val="000000"/>
                <w:lang w:val="zh-CN"/>
              </w:rPr>
              <w:t>征信信息安全机构</w:t>
            </w:r>
          </w:p>
        </w:tc>
        <w:tc>
          <w:tcPr>
            <w:tcW w:w="3717" w:type="pct"/>
            <w:gridSpan w:val="6"/>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r>
              <w:rPr>
                <w:rFonts w:hint="eastAsia" w:cs="宋体" w:asciiTheme="majorEastAsia" w:hAnsiTheme="majorEastAsia" w:eastAsiaTheme="majorEastAsia"/>
                <w:color w:val="000000"/>
                <w:lang w:val="zh-CN"/>
              </w:rPr>
              <w:t>风险事件类型</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601"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r>
              <w:rPr>
                <w:rFonts w:cs="宋体" w:asciiTheme="majorEastAsia" w:hAnsiTheme="majorEastAsia" w:eastAsiaTheme="majorEastAsia"/>
                <w:color w:val="000000"/>
                <w:lang w:val="zh-CN"/>
              </w:rPr>
              <w:t>地区</w:t>
            </w:r>
          </w:p>
        </w:tc>
        <w:tc>
          <w:tcPr>
            <w:tcW w:w="681"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r>
              <w:rPr>
                <w:rFonts w:cs="宋体" w:asciiTheme="majorEastAsia" w:hAnsiTheme="majorEastAsia" w:eastAsiaTheme="majorEastAsia"/>
                <w:color w:val="000000"/>
                <w:lang w:val="zh-CN"/>
              </w:rPr>
              <w:t>机构名称</w:t>
            </w:r>
          </w:p>
        </w:tc>
        <w:tc>
          <w:tcPr>
            <w:tcW w:w="766"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r>
              <w:rPr>
                <w:rFonts w:cs="宋体" w:asciiTheme="majorEastAsia" w:hAnsiTheme="majorEastAsia" w:eastAsiaTheme="majorEastAsia"/>
                <w:color w:val="000000"/>
                <w:lang w:val="zh-CN"/>
              </w:rPr>
              <w:t>异常查询（笔）</w:t>
            </w:r>
          </w:p>
        </w:tc>
        <w:tc>
          <w:tcPr>
            <w:tcW w:w="681"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r>
              <w:rPr>
                <w:rFonts w:cs="宋体" w:asciiTheme="majorEastAsia" w:hAnsiTheme="majorEastAsia" w:eastAsiaTheme="majorEastAsia"/>
                <w:color w:val="000000"/>
                <w:lang w:val="zh-CN"/>
              </w:rPr>
              <w:t>违规查询（笔）</w:t>
            </w:r>
          </w:p>
        </w:tc>
        <w:tc>
          <w:tcPr>
            <w:tcW w:w="597"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r>
              <w:rPr>
                <w:rFonts w:cs="宋体" w:asciiTheme="majorEastAsia" w:hAnsiTheme="majorEastAsia" w:eastAsiaTheme="majorEastAsia"/>
                <w:color w:val="000000"/>
                <w:lang w:val="zh-CN"/>
              </w:rPr>
              <w:t>非法提供（笔）</w:t>
            </w:r>
          </w:p>
        </w:tc>
        <w:tc>
          <w:tcPr>
            <w:tcW w:w="512"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r>
              <w:rPr>
                <w:rFonts w:cs="宋体" w:asciiTheme="majorEastAsia" w:hAnsiTheme="majorEastAsia" w:eastAsiaTheme="majorEastAsia"/>
                <w:color w:val="000000"/>
                <w:lang w:val="zh-CN"/>
              </w:rPr>
              <w:t>违规使用（笔）</w:t>
            </w:r>
          </w:p>
        </w:tc>
        <w:tc>
          <w:tcPr>
            <w:tcW w:w="594"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r>
              <w:rPr>
                <w:rFonts w:cs="宋体" w:asciiTheme="majorEastAsia" w:hAnsiTheme="majorEastAsia" w:eastAsiaTheme="majorEastAsia"/>
                <w:color w:val="000000"/>
                <w:lang w:val="zh-CN"/>
              </w:rPr>
              <w:t>信用报告泄漏（笔）</w:t>
            </w:r>
          </w:p>
        </w:tc>
        <w:tc>
          <w:tcPr>
            <w:tcW w:w="567"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r>
              <w:rPr>
                <w:rFonts w:cs="宋体" w:asciiTheme="majorEastAsia" w:hAnsiTheme="majorEastAsia" w:eastAsiaTheme="majorEastAsia"/>
                <w:color w:val="000000"/>
                <w:lang w:val="zh-CN"/>
              </w:rPr>
              <w:t>备注</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601"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p>
        </w:tc>
        <w:tc>
          <w:tcPr>
            <w:tcW w:w="681"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p>
        </w:tc>
        <w:tc>
          <w:tcPr>
            <w:tcW w:w="766"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p>
        </w:tc>
        <w:tc>
          <w:tcPr>
            <w:tcW w:w="681"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p>
        </w:tc>
        <w:tc>
          <w:tcPr>
            <w:tcW w:w="597"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p>
        </w:tc>
        <w:tc>
          <w:tcPr>
            <w:tcW w:w="512"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p>
        </w:tc>
        <w:tc>
          <w:tcPr>
            <w:tcW w:w="594"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p>
        </w:tc>
        <w:tc>
          <w:tcPr>
            <w:tcW w:w="567"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601"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p>
        </w:tc>
        <w:tc>
          <w:tcPr>
            <w:tcW w:w="681"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p>
        </w:tc>
        <w:tc>
          <w:tcPr>
            <w:tcW w:w="766"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p>
        </w:tc>
        <w:tc>
          <w:tcPr>
            <w:tcW w:w="681"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p>
        </w:tc>
        <w:tc>
          <w:tcPr>
            <w:tcW w:w="597"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p>
        </w:tc>
        <w:tc>
          <w:tcPr>
            <w:tcW w:w="512"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p>
        </w:tc>
        <w:tc>
          <w:tcPr>
            <w:tcW w:w="594"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p>
        </w:tc>
        <w:tc>
          <w:tcPr>
            <w:tcW w:w="567"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601"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p>
        </w:tc>
        <w:tc>
          <w:tcPr>
            <w:tcW w:w="681"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p>
        </w:tc>
        <w:tc>
          <w:tcPr>
            <w:tcW w:w="766"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p>
        </w:tc>
        <w:tc>
          <w:tcPr>
            <w:tcW w:w="681"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p>
        </w:tc>
        <w:tc>
          <w:tcPr>
            <w:tcW w:w="597"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p>
        </w:tc>
        <w:tc>
          <w:tcPr>
            <w:tcW w:w="512"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p>
        </w:tc>
        <w:tc>
          <w:tcPr>
            <w:tcW w:w="594"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p>
        </w:tc>
        <w:tc>
          <w:tcPr>
            <w:tcW w:w="567"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601"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p>
        </w:tc>
        <w:tc>
          <w:tcPr>
            <w:tcW w:w="681"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p>
        </w:tc>
        <w:tc>
          <w:tcPr>
            <w:tcW w:w="766"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p>
        </w:tc>
        <w:tc>
          <w:tcPr>
            <w:tcW w:w="681"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p>
        </w:tc>
        <w:tc>
          <w:tcPr>
            <w:tcW w:w="597"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p>
        </w:tc>
        <w:tc>
          <w:tcPr>
            <w:tcW w:w="512"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p>
        </w:tc>
        <w:tc>
          <w:tcPr>
            <w:tcW w:w="594"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p>
        </w:tc>
        <w:tc>
          <w:tcPr>
            <w:tcW w:w="567" w:type="pct"/>
            <w:tcBorders>
              <w:top w:val="single" w:color="000000" w:sz="6" w:space="0"/>
              <w:left w:val="single" w:color="000000" w:sz="6" w:space="0"/>
              <w:bottom w:val="single" w:color="000000" w:sz="6" w:space="0"/>
              <w:right w:val="single" w:color="000000" w:sz="6" w:space="0"/>
            </w:tcBorders>
            <w:tcMar>
              <w:top w:w="8" w:type="dxa"/>
              <w:left w:w="8" w:type="dxa"/>
              <w:bottom w:w="8" w:type="dxa"/>
              <w:right w:w="8" w:type="dxa"/>
            </w:tcMar>
            <w:vAlign w:val="center"/>
          </w:tcPr>
          <w:p>
            <w:pPr>
              <w:spacing w:line="360" w:lineRule="auto"/>
              <w:jc w:val="center"/>
              <w:rPr>
                <w:rFonts w:cs="宋体" w:asciiTheme="majorEastAsia" w:hAnsiTheme="majorEastAsia" w:eastAsiaTheme="majorEastAsia"/>
                <w:color w:val="000000"/>
                <w:lang w:val="zh-CN"/>
              </w:rPr>
            </w:pPr>
          </w:p>
        </w:tc>
      </w:tr>
    </w:tbl>
    <w:p>
      <w:pPr>
        <w:spacing w:after="156" w:afterLines="50" w:line="360" w:lineRule="auto"/>
        <w:ind w:firstLine="480" w:firstLineChars="200"/>
        <w:rPr>
          <w:rFonts w:cs="宋体" w:asciiTheme="majorEastAsia" w:hAnsiTheme="majorEastAsia" w:eastAsiaTheme="majorEastAsia"/>
          <w:lang w:val="zh-CN"/>
        </w:rPr>
      </w:pPr>
      <w:bookmarkStart w:id="341" w:name="No61"/>
      <w:bookmarkEnd w:id="341"/>
      <w:r>
        <w:rPr>
          <w:rFonts w:cs="宋体" w:asciiTheme="majorEastAsia" w:hAnsiTheme="majorEastAsia" w:eastAsiaTheme="majorEastAsia"/>
          <w:lang w:val="zh-CN"/>
        </w:rPr>
        <w:t>复核人：***填表人：***</w:t>
      </w:r>
    </w:p>
    <w:p>
      <w:pPr>
        <w:spacing w:after="156" w:afterLines="50" w:line="360" w:lineRule="auto"/>
        <w:ind w:firstLine="480" w:firstLineChars="200"/>
        <w:rPr>
          <w:rFonts w:cs="宋体" w:asciiTheme="majorEastAsia" w:hAnsiTheme="majorEastAsia" w:eastAsiaTheme="majorEastAsia"/>
          <w:lang w:val="zh-CN"/>
        </w:rPr>
      </w:pPr>
      <w:bookmarkStart w:id="342" w:name="No62"/>
      <w:bookmarkEnd w:id="342"/>
      <w:r>
        <w:rPr>
          <w:rFonts w:cs="宋体" w:asciiTheme="majorEastAsia" w:hAnsiTheme="majorEastAsia" w:eastAsiaTheme="majorEastAsia"/>
          <w:lang w:val="zh-CN"/>
        </w:rPr>
        <w:t>注：1.上报违规情况涉及的机构包括金融信用信息基础数据库运行机构、接入机构、人民银行分支机构征信查询点。</w:t>
      </w:r>
    </w:p>
    <w:p>
      <w:pPr>
        <w:spacing w:after="156" w:afterLines="50" w:line="360" w:lineRule="auto"/>
        <w:ind w:firstLine="482" w:firstLineChars="200"/>
        <w:rPr>
          <w:rStyle w:val="22"/>
          <w:rFonts w:cs="宋体" w:asciiTheme="majorEastAsia" w:hAnsiTheme="majorEastAsia" w:eastAsiaTheme="majorEastAsia"/>
          <w:lang w:val="zh-CN"/>
        </w:rPr>
        <w:sectPr>
          <w:pgSz w:w="11906" w:h="16838"/>
          <w:pgMar w:top="1440" w:right="1800" w:bottom="1440" w:left="1800" w:header="851" w:footer="992" w:gutter="0"/>
          <w:cols w:space="425" w:num="1"/>
          <w:docGrid w:type="lines" w:linePitch="312" w:charSpace="0"/>
        </w:sectPr>
      </w:pPr>
      <w:bookmarkStart w:id="343" w:name="No63_T2"/>
      <w:bookmarkEnd w:id="343"/>
      <w:r>
        <w:rPr>
          <w:rStyle w:val="21"/>
          <w:rFonts w:cs="宋体" w:asciiTheme="majorEastAsia" w:hAnsiTheme="majorEastAsia" w:eastAsiaTheme="majorEastAsia"/>
          <w:lang w:val="zh-CN"/>
        </w:rPr>
        <w:t>2. </w:t>
      </w:r>
      <w:bookmarkStart w:id="344" w:name="No64_T2K1"/>
      <w:bookmarkEnd w:id="344"/>
      <w:r>
        <w:rPr>
          <w:rStyle w:val="22"/>
          <w:rFonts w:cs="宋体" w:asciiTheme="majorEastAsia" w:hAnsiTheme="majorEastAsia" w:eastAsiaTheme="majorEastAsia"/>
          <w:lang w:val="zh-CN"/>
        </w:rPr>
        <w:t>在备注中描述违规事件的详细情况，如事件较复杂时，另附详细报告。</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附件3：</w:t>
      </w:r>
    </w:p>
    <w:p>
      <w:pPr>
        <w:spacing w:after="156" w:afterLines="50" w:line="360" w:lineRule="auto"/>
        <w:ind w:firstLine="482" w:firstLineChars="200"/>
        <w:rPr>
          <w:rStyle w:val="22"/>
          <w:rFonts w:cs="宋体" w:asciiTheme="majorEastAsia" w:hAnsiTheme="majorEastAsia" w:eastAsiaTheme="majorEastAsia"/>
          <w:b/>
          <w:bCs/>
          <w:lang w:val="zh-CN"/>
        </w:rPr>
      </w:pPr>
      <w:r>
        <w:rPr>
          <w:rStyle w:val="22"/>
          <w:rFonts w:hint="eastAsia" w:cs="宋体" w:asciiTheme="majorEastAsia" w:hAnsiTheme="majorEastAsia" w:eastAsiaTheme="majorEastAsia"/>
          <w:b/>
          <w:bCs/>
          <w:lang w:val="zh-CN"/>
        </w:rPr>
        <w:t>金融信用信息基础数据库接入机构征信合规与信息安全年度考核评级管理办法</w:t>
      </w:r>
    </w:p>
    <w:p>
      <w:pPr>
        <w:spacing w:after="156" w:afterLines="50" w:line="360" w:lineRule="auto"/>
        <w:ind w:firstLine="482" w:firstLineChars="200"/>
        <w:outlineLvl w:val="0"/>
        <w:rPr>
          <w:rStyle w:val="22"/>
          <w:rFonts w:cs="宋体" w:asciiTheme="majorEastAsia" w:hAnsiTheme="majorEastAsia" w:eastAsiaTheme="majorEastAsia"/>
          <w:b/>
          <w:bCs/>
          <w:lang w:val="zh-CN"/>
        </w:rPr>
      </w:pPr>
      <w:bookmarkStart w:id="345" w:name="_Toc30848"/>
      <w:r>
        <w:rPr>
          <w:rStyle w:val="22"/>
          <w:rFonts w:hint="eastAsia" w:cs="宋体" w:asciiTheme="majorEastAsia" w:hAnsiTheme="majorEastAsia" w:eastAsiaTheme="majorEastAsia"/>
          <w:b/>
          <w:bCs/>
          <w:lang w:val="zh-CN"/>
        </w:rPr>
        <w:t>第一章总则</w:t>
      </w:r>
      <w:bookmarkEnd w:id="345"/>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第一条 为有效实施金融信用信息基础数据库接入机构征信合规与信息安全管理，合理配置监管资源，提高监管效率，促进接入机构规范开展征信业务活动，依据《征信业管理条例》等有关法规制度，制定本办法。</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第二条 本办法所称接入机构，是指向金融信用信息基础数据库提供或者查询信息的机构。</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第三条 本办法所称考核评级，是指人民银行及其分支机构根据接入机构征信业务内控机制、人员与用户管理、征信业务合规操作、信息安全与技术保障以及落实征信管理工作要求的情况等，对其进行打分和确定等级等活动。</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第四条 人民银行及其分支机构依据本办法对接入机构进行考核评级，并根据考核评级结果采取差异化监管措施。考核评级工作遵循以下原则：</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（一）依法依规、客观公正。</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（二）防控风险、注重合规。</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（三）定量与定性相结合。</w:t>
      </w:r>
    </w:p>
    <w:p>
      <w:pPr>
        <w:spacing w:after="156" w:afterLines="50" w:line="360" w:lineRule="auto"/>
        <w:ind w:firstLine="482" w:firstLineChars="200"/>
        <w:outlineLvl w:val="0"/>
        <w:rPr>
          <w:rStyle w:val="22"/>
          <w:rFonts w:cs="宋体" w:asciiTheme="majorEastAsia" w:hAnsiTheme="majorEastAsia" w:eastAsiaTheme="majorEastAsia"/>
          <w:b/>
          <w:bCs/>
          <w:lang w:val="zh-CN"/>
        </w:rPr>
      </w:pPr>
      <w:bookmarkStart w:id="346" w:name="_Toc19030"/>
      <w:r>
        <w:rPr>
          <w:rStyle w:val="22"/>
          <w:rFonts w:hint="eastAsia" w:cs="宋体" w:asciiTheme="majorEastAsia" w:hAnsiTheme="majorEastAsia" w:eastAsiaTheme="majorEastAsia"/>
          <w:b/>
          <w:bCs/>
          <w:lang w:val="zh-CN"/>
        </w:rPr>
        <w:t>第二章考核评级指标和内容</w:t>
      </w:r>
      <w:bookmarkEnd w:id="346"/>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第五条 接入机构征信合规与信息安全年度考核评级指标分为五个方面：</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（一）征信业务内控机制。反映接入机构征信内控机制的建设和运行情况，包括组织设置及运转、合规制度及措施、全员合规教育轮训的组织与实施制度、内部审计及监督等方面。</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（二）人员与用户管理。反映接入机构征信从业人员和征信系统用户的配置及管理情况，包括人员配备、征信系统用户管理、全员合规教育轮训的数量与质量等方面。</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三）征信业务合规操作。反映接入机构征信业务活动符合法规制度和征信基本原理的情况，包括信息报送、信息查询、信息对外提供及使用、异议处理及投诉办理、征信系统接入机构设置、业务资料保存等方面。</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（四）信息安全与技术保障。反映接入机构通过完善征信管理系统、采取技术措施对征信业务活动及相关风险进行管控的情况，包括系统功能、网络连接、访问控制、信息安全管理等方面。</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（五）落实征信管理工作要求的情况。反映接入机构落实人民银行监管要求和工作部署的情况，包括工作落实、活动开展、意见反馈以及征信调研等方面。</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第六条 人民银行及其分支机构按照《金融信用信息基础数据库接入机构征信合规与信息安全年度考核评级指标及标准》（见附），综合各项得分得出接入机构最终的考核计分，考核计分满分为100分。</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第七条 人民银行根据征信市场发展情况和审慎监管原则，适时调整接入机构考核评级指标与标准。</w:t>
      </w:r>
    </w:p>
    <w:p>
      <w:pPr>
        <w:spacing w:after="156" w:afterLines="50" w:line="360" w:lineRule="auto"/>
        <w:ind w:firstLine="482" w:firstLineChars="200"/>
        <w:outlineLvl w:val="0"/>
        <w:rPr>
          <w:rStyle w:val="22"/>
          <w:rFonts w:cs="宋体" w:asciiTheme="majorEastAsia" w:hAnsiTheme="majorEastAsia" w:eastAsiaTheme="majorEastAsia"/>
          <w:b/>
          <w:bCs/>
          <w:lang w:val="zh-CN"/>
        </w:rPr>
      </w:pPr>
      <w:bookmarkStart w:id="347" w:name="_Toc10401"/>
      <w:r>
        <w:rPr>
          <w:rStyle w:val="22"/>
          <w:rFonts w:hint="eastAsia" w:cs="宋体" w:asciiTheme="majorEastAsia" w:hAnsiTheme="majorEastAsia" w:eastAsiaTheme="majorEastAsia"/>
          <w:b/>
          <w:bCs/>
          <w:lang w:val="zh-CN"/>
        </w:rPr>
        <w:t>第三章考核评级分工及实施</w:t>
      </w:r>
      <w:bookmarkEnd w:id="347"/>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第八条 人民银行及其分支机构坚持分级管辖与属地管理相结合的原则，确定考核评级对象，并按照以下职责分工对接入机构进行考核评级：</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（一）人民银行负责对全国性接入机构进行考核评级。</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（二）人民银行分支机构负责对辖区内接入机构进行考核评级，并向上级行提供接入机构分支机构的征信合规情况，作为考核评级工作素材。</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第九条 接入机构考核评级工作每年开展一次，原则上应当于每年3月31日前完成对上一年度的考核评级工作。评级期间为上一年度1月1日至12月31日。</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对当年新接入机构不进行考核评级。</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第十条 全国性接入机构的考核评级按照以下程序进行：</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（一）接入机构自评。全国性接入机构对照本办法规定的考核评级内容和标准，实事求是、全面完整开展自评工作，自评结果及相关证明材料应当于每年1月31日前报送人民银行。</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（二）人民银行分支机构提供素材。人民银行副省级城市中心支行以上分支机构应当于每年2月底前，将辖区内的全国性接入机构分支机构的征信合规安全情况等素材，汇总报送人民银行。</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（三）人民银行考核评级。人民银行在全国性接入机构自评、副省级城市中心支行以上分支机构报送考核评级素材的基础上，对全国性接入机构进行考核评级。</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（四）考核评级结果告知。人民银行通过文件、约谈、会议等方式，将考核评级结果及存在的主要问题等告知全国性接入机构。</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全国性接入机构对考核评级结果有异议的，可以在收到反馈之日起7个工作日内，提出书面申述，并提交相关证明材料。申述意见成立的，人民银行应当予以采纳，并对考核评级结果进行相应调整。</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（五）考核评级结果通报。人民银行于每年3月31日前，以适当方式通报全国性接入机构的考核评级结果。</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第十一条 人民银行分支机构参照本办法第十条规定的程序，组织开展辖区内接入机构的考核评级工作。</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第十二条 接入机构应当对自评结果和相关证明材料的真实性负责。对存在虚假记载、误导性陈述或者重大遗漏等情况的接入机构，人民银行及其分支机构可以视情况，对相关机构和人员采取监管谈话、责令限期整改、下调考核评级结果等措施。</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第十三条 接入机构的自评情况及征信合规安全情况发生重大变化并且足以影响考核评级结果的，人民银行及其分支机构应当对接入机构的考核评级结果及时进行动态调整。</w:t>
      </w:r>
    </w:p>
    <w:p>
      <w:pPr>
        <w:spacing w:after="156" w:afterLines="50" w:line="360" w:lineRule="auto"/>
        <w:ind w:firstLine="482" w:firstLineChars="200"/>
        <w:outlineLvl w:val="0"/>
        <w:rPr>
          <w:rStyle w:val="22"/>
          <w:rFonts w:cs="宋体" w:asciiTheme="majorEastAsia" w:hAnsiTheme="majorEastAsia" w:eastAsiaTheme="majorEastAsia"/>
          <w:b/>
          <w:bCs/>
          <w:lang w:val="zh-CN"/>
        </w:rPr>
      </w:pPr>
      <w:bookmarkStart w:id="348" w:name="_Toc27664"/>
      <w:r>
        <w:rPr>
          <w:rStyle w:val="22"/>
          <w:rFonts w:hint="eastAsia" w:cs="宋体" w:asciiTheme="majorEastAsia" w:hAnsiTheme="majorEastAsia" w:eastAsiaTheme="majorEastAsia"/>
          <w:b/>
          <w:bCs/>
          <w:lang w:val="zh-CN"/>
        </w:rPr>
        <w:t>第四章考核评级结果及应用</w:t>
      </w:r>
      <w:bookmarkEnd w:id="348"/>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第十四条 依据考核计分情况，人民银行及其分支机构将接入机构评为A、B、C、D四个等级。其中，90分-100分为A级，75分-89分为B级，60分-74分为C级，59分及以下为D级。</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（一）A级机构：五项基本指标整体优异。征信业务内控机制完善；征信从业人员与用户管理规范；征信业务活动合规开展；信息安全与技术保障能力突出；主动、有效落实征信管理工作的要求。</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二）B级机构：五项基本指标表现良好，个别指标表现一般。征信业务内控机制相对完善；征信从业人员与用户管理较为规范；征信业务合规情况良好；信息安全与技术保障能力较强；落实征信管理工作要求的情况较好。</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三）C级机构：五项基本指标表现一般，存在一定风险隐患。征信业务内控机制基本建立；征信从业人员与用户管理有待加强；征信业务合规情况一般；信息安全与技术保障方面存在风险隐患；基本落实征信管理工作的要求。</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（四）D级机构：五项基本指标表现较差，风险隐患严重。征信业务内控机制薄弱；征信从业人员与用户管理、征信业务合规操作或者信息安全与技术保障方面存在重大缺陷；未能有效落实征信管理工作的要求。</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第十五条 考核期内，接入机构存在下列任一情形的，考核评级结果应当下调一级：</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（一）因征信违规案件导致多起投诉、诉讼，或者引发社会群体性事件，造成重大负面影响的。</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（二）在新闻媒体、网络引发持续性重大负面舆情，造成恶劣社会影响的。</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（三）瞒报、迟报、漏报重大风险事件或者违规事件，造成严重后果的。</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（四）自评时存在重大隐瞒情形，报送存在虚假记载、误导性陈述或者重大遗漏的文件、资料，情节严重的。</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（五）发生3起以上同一类型较为严重的违规事件的。</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（六）存在重大风险隐患，经3次以上监管督促仍未积极整改的。</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（七）拒绝、阻碍人民银行及其分支机构检查、调查及其他征信管理工作的。</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（八）人民银行及其分支机构确定的其他情形。</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第十六条 考核期内，接入机构存在下列任一情形的，其考核评级结果直接定为0分：</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（一）发生涉及征信信息犯罪的案件，相关机构或者人员被依法追究刑事责任的。</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（二）发生征信信息泄露、买卖征信信息等事件，相关人员被依法采取刑事强制措施的。</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三）发生征信信息泄露、非法查询等违规案件，全国性接入机构被人民银行及其分支机构予以5次以上行政处罚，或者地方性接入机构被予以3次以上行政处罚，且未有效整改、征信合规状况持续恶化、存在重大风险隐患的。</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（四）未经批准擅自开展征信机构业务的。</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第十七条 人民银行及其分支机构依据考核评级结果，衡量接入机构征信合规安全管理整体情况和风险程度，并对接入机构采取差异化的监管措施：</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（一）对评级结果为“A级”的接入机构，不采取特别的监管措施。</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（二）对评级结果为“B级”的接入机构，除日常监管措施以外，责令其限期整改存在的问题，督促其进一步提升合规管理水平。</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（三）对评级结果为“C级”的接入机构，除日常监管措施以外，同时采取责令其限期整改、约见谈话、发送风险提示函、增加征信巡查和现场检查频次等监管措施。</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四）对评级结果为“D级”的接入机构，除采取对C级机构的监管措施以外，还可以视情况采取限定范围内通报批评、责成运行机构调整其用户管理权限直至暂停为其提供征信查询服务、临时接管相关信息系统、列为当年现场检查对象等监管措施。</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（五）对评级结果为0分的接入机构，除采取对D级机构的监管措施以外，还可以采取责成接入机构内部从严问责、向干部管理部门和纪检监察部门通报、移送司法机关依法追究法律责任等措施。</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第十八条 接入机构的考核评级结果作为人民银行及其分支机构征信管理工作的重要参考，探索作为衔接宏观审慎、金融稳定等其他有关政策的参考依据之一。</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第十九条 考核评级结果仅供人民银行及其分支机构开展征信监管使用，不得用于其他目的，法律法规和本办法另有规定的除外。</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接入机构不得将考核评级结果用于广告、宣传、营销等商业目的。</w:t>
      </w:r>
    </w:p>
    <w:p>
      <w:pPr>
        <w:spacing w:after="156" w:afterLines="50" w:line="360" w:lineRule="auto"/>
        <w:ind w:firstLine="482" w:firstLineChars="200"/>
        <w:outlineLvl w:val="0"/>
        <w:rPr>
          <w:rStyle w:val="22"/>
          <w:rFonts w:cs="宋体" w:asciiTheme="majorEastAsia" w:hAnsiTheme="majorEastAsia" w:eastAsiaTheme="majorEastAsia"/>
          <w:b/>
          <w:bCs/>
          <w:lang w:val="zh-CN"/>
        </w:rPr>
      </w:pPr>
      <w:bookmarkStart w:id="349" w:name="_Toc14787"/>
      <w:r>
        <w:rPr>
          <w:rStyle w:val="22"/>
          <w:rFonts w:hint="eastAsia" w:cs="宋体" w:asciiTheme="majorEastAsia" w:hAnsiTheme="majorEastAsia" w:eastAsiaTheme="majorEastAsia"/>
          <w:b/>
          <w:bCs/>
          <w:lang w:val="zh-CN"/>
        </w:rPr>
        <w:t>第五章附则</w:t>
      </w:r>
      <w:bookmarkEnd w:id="349"/>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第二十条 人民银行副省级城市中心支行以上分支机构可以按照本办法，结合当地具体情况，制定本辖区的实施细则。</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第二十一条 本办法所称全国性接入机构是指国家开发银行等21家全国性银行业金融机构。全国性接入机构以外的其他接入机构均归为地方性接入机构。</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本办法所称辖区内接入机构是指受当地人民银行分支机构管理的全国性接入机构的分支机构、地方性接入机构和其他省（区、市）地方法人接入机构在辖区内的分支机构。</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第二十二条 其他征信机构和信用评级机构及其接入机构的征信合规与信息安全年度考核评级，参照本办法执行。</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第二十三条 本办法由人民银行负责解释。</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第二十四条 本办法自印发之日起施行。</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附件4：</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征信信息安全巡查试行办法</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一、巡查目标</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征信监管部门依法巡查征信信息泄露问题和征信信息安全隐患，及时发现、及时处置，确保不发生征信信息安全重大风险事件。</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二、巡查对象</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金融信用信息基础数据库运行机构（以下简称运行机构）、征信机构及其接入机构，人民银行分支机构。</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三、巡查组织</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按照分级负责的原则，采取监管走访的形式组织巡查工作。人民银行组织实施对运行机构、全国性接入机构、人民银行副省级城市中心支行以上分支机构的征信信息安全巡查工作；人民银行副省级城市中心支行以上分支机构组织实施对辖区内征信机构、地方性接入机构、全国性接入机构的分支机构、人民银行基层机构的征信信息安全巡查工作。</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人民银行及其副省级城市中心支行以上分支机构根据征信合规管理情况，制定年度巡查工作计划，定期或者不定期开展征信信息安全巡查。</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人民银行分支机构可结合当地实际，制定征信信息安全巡查工作实施细则，组织实施辖区内征信信息安全巡查工作。人民银行分支机构应当采取有效方式，两年内逐步实现辖区内征信信息安全巡查工作全覆盖。</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人民银行各级征信管理部门（以下称巡查组织单位）负责建立征信信息安全巡查组（以下简称巡查组）。巡查组实行组长负责制，巡查组组长为巡查工作的第一责任人。巡查组组长由巡查组织单位的主要负责人担任，组员由巡查组织单位的工作人员和其他相关人员组成。</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四、巡查内容</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运行机构、征信机构及其接入机构的征信信息安全管理工作等情况，以及人民银行分支机构贯彻落实总行征信信息安全工作情况。</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（一）对运行机构、征信机构及其接入机构的巡查内容。</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1.征信管理法律、法规、规章和规范性文件的执行情况。</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2.人民银行征信信息安全管理工作要求贯彻落实情况。</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3.征信系统用户管理、征信信息查询管理、自助查询机管理、征信异议处理和投诉办理等情况。</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4.征信内控制度及问责制度、征信信息安全情况报告制度、征信合规与信息安全自查自纠制度和征信信息安全事件应急处置机制建设情况，征信信息安全管理责任体系建立及落实情况。</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5.征信信息安全内部日查制度、征信合规性全员教育培训制度等执行情况。</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6.征信信息系统安全保障情况。</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7.年度考核评级中存在问题以及现场检查中发现问题的整改情况。</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8.其他需要巡查的内容。</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（二）对人民银行分支机构的巡查内容。</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1.征信管理法律、法规、规章和规范性文件的执行情况。</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2.总行征信信息安全管理工作要求贯彻落实情况。</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3.征信信息安全管理责任体系建立及落实情况。</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4.征信信息安全管理工作机制建立及运行情况。</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5.征信信息安全巡查工作开展情况。</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6.征信分中心查询服务合规情况，包括征信系统用户管理、征信信息查询管理、自助查询机管理和征信异议处理等情况。</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7.当地接入机构管理情况。</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8.其他需要巡查的内容。</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五、巡查程序</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（一）巡查组对巡查对象开展巡查前，应当由单位分管领导或者部门主要负责人批准；在开展征信信息安全巡查时，巡查组工作人员不得少于2人，并出示合法证件。</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（二）巡查组召开座谈会，听取巡查对象关于征信信息安全管理工作的汇报，对有关情况进行问询。</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（三）巡查组查阅有关文件、档案、会议记录等资料。</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（四）巡查组现场核查征信信息安全管理工作情况。</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（五）巡查组在巡查工作结束后10个工作日内，向巡查组织单位报送巡查工作报告。</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六）巡查组织单位根据巡查工作报告向巡查对象反馈相关巡查情况，指出问题、隐患，提出整改意见。对巡查中发现的征信信息安全重大风险事件或者线索，由人民银行系统同级机构依法启动执法检查程序或者责令巡查对象依法向公安机关报案。</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六、有关工作要求</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（一）巡查工作要坚持依法合规、客观公正、深入细致、严谨求实。巡查人员应当严格执行工作纪律，不得擅自泄露巡查过程中知悉的相关信息，并严格遵守廉洁自律各项规定。</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二）巡查对象要自觉接受巡查，积极配合，如实反映征信信息安全管理工作情况，及时、完整提供相关文件、资料。对巡查发现的问题和隐患，立即组织整改，并在接到整改反馈后的15个工作日内按要求将整改情况报送巡查组织单位和有关部门。</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（三）巡查组对巡查发现的问题和隐患要督促整改落实；对问题严重、整改不力的，由人民银行或者其分支机构依法依规追究相关单位及个人的责任。巡查工作开展情况纳入年度考核。</w:t>
      </w:r>
    </w:p>
    <w:p>
      <w:pPr>
        <w:spacing w:after="156" w:afterLines="50" w:line="360" w:lineRule="auto"/>
        <w:ind w:firstLine="480" w:firstLineChars="200"/>
        <w:rPr>
          <w:rStyle w:val="22"/>
          <w:rFonts w:cs="宋体" w:asciiTheme="majorEastAsia" w:hAnsiTheme="majorEastAsia" w:eastAsiaTheme="majorEastAsia"/>
          <w:lang w:val="zh-CN"/>
        </w:rPr>
      </w:pPr>
      <w:r>
        <w:rPr>
          <w:rStyle w:val="22"/>
          <w:rFonts w:hint="eastAsia" w:cs="宋体" w:asciiTheme="majorEastAsia" w:hAnsiTheme="majorEastAsia" w:eastAsiaTheme="majorEastAsia"/>
          <w:lang w:val="zh-CN"/>
        </w:rPr>
        <w:t>附：金融信用信息基础数据库接入机构征信合规与信息安全年度考核评级指标及标准</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p>
    <w:p>
      <w:pPr>
        <w:pStyle w:val="2"/>
        <w:numPr>
          <w:ilvl w:val="0"/>
          <w:numId w:val="0"/>
        </w:numPr>
        <w:ind w:left="922" w:leftChars="0" w:hanging="440" w:firstLineChars="0"/>
      </w:pPr>
      <w:bookmarkStart w:id="350" w:name="_Toc12250"/>
      <w:r>
        <w:rPr>
          <w:rFonts w:cs="宋体" w:asciiTheme="majorEastAsia" w:hAnsiTheme="majorEastAsia" w:eastAsiaTheme="majorEastAsia"/>
          <w:b/>
          <w:bCs/>
          <w:sz w:val="24"/>
          <w:szCs w:val="24"/>
          <w:lang w:val="en-US" w:eastAsia="zh-CN" w:bidi="ar-SA"/>
        </w:rPr>
        <w:t>96.</w:t>
      </w:r>
      <w:r>
        <w:rPr>
          <w:rFonts w:hint="eastAsia"/>
        </w:rPr>
        <w:t>《中国银行保险监督管理委员会办公厅关于规范银行业金融机构跨省票据业务的通知》</w:t>
      </w:r>
      <w:bookmarkEnd w:id="350"/>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发文机构：中国银行保险监督管理委员会(已撤销)、中国人民银行</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文号：银保监办发〔2018〕21号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各银监局，各大型银行、股份制银行，邮储银行，外资银行：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为进一步规范银行业金融机构票据业务，有效防范风险，提升服务实体经济质效，现就跨省票据业务有关事项通知如下: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本通知所称跨省票据业务是指银行业金融机构及其分支机构为其所在省（自治区、直辖市）以外地区注册的企业办理的票据承兑、贴现等授信类业务，以及与营业场所在其所在省（自治区、直辖市）以外地区的交易主体之间开展的票据转贴现、买入返售（卖出回购）等交易类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银行业金融机构应严格落实《关于加强票据业务监管促进票据市场健康发展的通知》（银发〔2016〕126号）、《关于票据业务风险提示的通知》（银监办发〔2015〕203号）和《关于规范金融机构同业业务的通知》（银发〔2014〕127号）等监管要求，加强对票据承兑、贴现的授信管理，票据转贴现和买入返售（卖出回购）业务交易对手管理、同业结算账户管理等重要环节的风险控制。持续加强员工行为管理，严禁员工参与各类票据中介和资金掮客活动。着力培育合规经营文化，提高管理层和员工合规意识，树立审慎经营理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银行业金融机构应尽快接入人民银行电子商业汇票系统和上海票据交易所中国票据交易系统，不断提高电子票据在转贴现、买入返售（卖出回购）等票据交易业务中的占比。银行业金融机构应通过电子商业汇票系统和中国票据交易系统等票据市场基础设施开展跨省电子票据和纸质票据电子化转贴现、买入返售（卖出回购）交易。本通知印发前已开展跨省纸质票据转贴现、买入返售（卖出回购）业务的，自本通知印发之日起6个月内，可继续开展相关业务，但应逐步压降业务规模；自本通知印发之日6个月后，应停止开展相关业务，存量业务在合同到期后自然终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银行业金融机构应审慎开展跨省票据承兑、贴现业务，业务开展规模和发展速度应与其跨省授信管理能力相适应。拟开展或已开展相关业务的，应建立包括票据承兑、贴现等授信方式的异地授信内部管理制度；应实行严格的授权管理，银行业金融机构的法人总部根据本机构相关业务管理规定、分支机构风险管控能力、区域经济发展状况、目标客户类别等实施差异化授权；应建立分支机构之间的协同与控制机制，避免出现内部竞争，在客户所在地设有分支机构的，票据承兑、贴现原则上应由当地分支机构办理，依据《国务院办公厅关于积极推进供应链创新与应用的指导意见》（国办发〔2017〕84号）开展与供应链相关的上述业务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各级监管部门应密切监测银行业金融机构跨省票据业务，发现大额往来和异常波动等情况应及时提示风险；加大对银行业金融机构跨省票据业务的现场检查。针对日常监管和检查中发现的违法违规办理业务、不当交易和套利等各类票据业务问题，督促银行业金融机构认真整改，严肃问责，健全内控，堵塞漏洞。对严重违法违规行为，应依法依规从严从重处罚。</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p>
    <w:p>
      <w:pPr>
        <w:pStyle w:val="2"/>
        <w:numPr>
          <w:ilvl w:val="0"/>
          <w:numId w:val="0"/>
        </w:numPr>
        <w:ind w:left="922" w:leftChars="0" w:hanging="440" w:firstLineChars="0"/>
      </w:pPr>
      <w:bookmarkStart w:id="351" w:name="_Toc31349"/>
      <w:r>
        <w:rPr>
          <w:rFonts w:cs="宋体" w:asciiTheme="majorEastAsia" w:hAnsiTheme="majorEastAsia" w:eastAsiaTheme="majorEastAsia"/>
          <w:b/>
          <w:bCs/>
          <w:sz w:val="24"/>
          <w:szCs w:val="24"/>
          <w:lang w:val="en-US" w:eastAsia="zh-CN" w:bidi="ar-SA"/>
        </w:rPr>
        <w:t>97.</w:t>
      </w:r>
      <w:r>
        <w:rPr>
          <w:rFonts w:hint="eastAsia"/>
        </w:rPr>
        <w:t>《银行业金融机构联合授信管理办法（试行）》</w:t>
      </w:r>
      <w:bookmarkEnd w:id="351"/>
      <w:r>
        <w:rPr>
          <w:rFonts w:hint="eastAsia"/>
        </w:rPr>
        <w:tab/>
      </w:r>
    </w:p>
    <w:p>
      <w:pPr>
        <w:spacing w:after="156" w:afterLines="50" w:line="360" w:lineRule="auto"/>
        <w:ind w:firstLine="480" w:firstLineChars="200"/>
        <w:outlineLvl w:val="0"/>
        <w:rPr>
          <w:rFonts w:cs="宋体" w:asciiTheme="majorEastAsia" w:hAnsiTheme="majorEastAsia" w:eastAsiaTheme="majorEastAsia"/>
        </w:rPr>
      </w:pPr>
      <w:bookmarkStart w:id="352" w:name="_Toc29874"/>
      <w:r>
        <w:rPr>
          <w:rFonts w:hint="eastAsia" w:cs="宋体" w:asciiTheme="majorEastAsia" w:hAnsiTheme="majorEastAsia" w:eastAsiaTheme="majorEastAsia"/>
        </w:rPr>
        <w:t>发文机构：中国银行保险监督管理委员会(已撤销)</w:t>
      </w:r>
      <w:bookmarkEnd w:id="352"/>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文号：银保监发〔2018〕24号</w:t>
      </w:r>
      <w:r>
        <w:rPr>
          <w:rFonts w:hint="eastAsia" w:cs="宋体" w:asciiTheme="majorEastAsia" w:hAnsiTheme="majorEastAsia" w:eastAsiaTheme="majorEastAsia"/>
        </w:rPr>
        <w:tab/>
      </w:r>
    </w:p>
    <w:p>
      <w:pPr>
        <w:spacing w:after="156" w:afterLines="50" w:line="360" w:lineRule="auto"/>
        <w:ind w:firstLine="482" w:firstLineChars="200"/>
        <w:outlineLvl w:val="0"/>
        <w:rPr>
          <w:rFonts w:cs="宋体" w:asciiTheme="majorEastAsia" w:hAnsiTheme="majorEastAsia" w:eastAsiaTheme="majorEastAsia"/>
          <w:b/>
          <w:bCs/>
        </w:rPr>
      </w:pPr>
      <w:bookmarkStart w:id="353" w:name="_Toc5568"/>
      <w:r>
        <w:rPr>
          <w:rFonts w:hint="eastAsia" w:cs="宋体" w:asciiTheme="majorEastAsia" w:hAnsiTheme="majorEastAsia" w:eastAsiaTheme="majorEastAsia"/>
          <w:b/>
          <w:bCs/>
        </w:rPr>
        <w:t>第一章总则</w:t>
      </w:r>
      <w:bookmarkEnd w:id="35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为进一步优化银企合作关系，提高金融资源配置效率，有效防控重大信用风险，根据《中华人民共和国银行业监督管理法》《中华人民共和国商业银行法》等法律法规，制定本办法。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本办法适用于经银行业监督管理机构批准设立的金融机构。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本办法所称联合授信是指拟对或已对同一企业（含企业集团，下同）提供债务融资的多家银行业金融机构，通过建立信息共享机制，改进银企合作模式，提升银行业金融服务质效和信用风险防控水平的运作机制。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本办法所称融资均指债务融资。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联合授信机制应坚持以下基本原则：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依法合规。联合授信机制运行中，应遵守国家有关法律法规，符合国家信贷政策。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市场导向。联合授信机制运作应充分发挥市场机制的决定性作用，注重平等协商，明晰权利义务，坚守契约精神，尊重各方合法权益。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公开透明。联合授信机制各参与主体应按照约定及时完整真实地披露信息，加强信息共享，提高信息透明度。</w:t>
      </w:r>
    </w:p>
    <w:p>
      <w:pPr>
        <w:spacing w:after="156" w:afterLines="50" w:line="360" w:lineRule="auto"/>
        <w:ind w:firstLine="482" w:firstLineChars="200"/>
        <w:outlineLvl w:val="0"/>
        <w:rPr>
          <w:rFonts w:cs="宋体" w:asciiTheme="majorEastAsia" w:hAnsiTheme="majorEastAsia" w:eastAsiaTheme="majorEastAsia"/>
          <w:b/>
          <w:bCs/>
        </w:rPr>
      </w:pPr>
      <w:bookmarkStart w:id="354" w:name="_Toc27003"/>
      <w:r>
        <w:rPr>
          <w:rFonts w:hint="eastAsia" w:cs="宋体" w:asciiTheme="majorEastAsia" w:hAnsiTheme="majorEastAsia" w:eastAsiaTheme="majorEastAsia"/>
          <w:b/>
          <w:bCs/>
        </w:rPr>
        <w:t>第二章联合授信管理架构</w:t>
      </w:r>
      <w:bookmarkEnd w:id="35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多家银行业金融机构对同一企业进行授信时，可建立信息共享机制，共同收集汇总、交叉验证企业经营和财务信息。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对在3家以上银行业金融机构有融资余额，且融资余额合计在50亿元以上的企业，银行业金融机构应建立联合授信机制。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对在3家以上的银行业金融机构有融资余额，且融资余额合计在20~50亿元之间的企业，银行业金融机构可自愿建立联合授信机制。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银行业金融机构发现企业符合第六条明确的建立联合授信机制条件时，应通知银行业协会。银行业协会协调企业的债权银行业金融机构在1个月内建立联合授信机制。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企业债权银行业金融机构应签署联合授信成员银行协议（以下简称“成员银行协议”），并组建联合授信委员会。成员银行协议内容包括但不限于：联合授信委员会的组织架构、议事规则、运作方式，成员银行的权利义务和违约责任，联合风险防控、风险预警、风险处置的工作规则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联合授信委员会应履行以下职能：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（一）共同收集汇总、交叉验证企业经营和财务信息，防止企业隐藏真实信息或提供虚假信息，规避银行授信管理要求。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（二）共同挖掘企业内外部信息源，运用必要技术手段，汇总梳理企业关联关系，识别隐性关联企业和实际控制人。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（三）联合评估企业的整体负债状况、实际融资需求和经营状况，测算企业可承受的最高债务水平，设置企业融资风险预警线。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（四）与企业就确定联合授信额度和风险管理要求等进行协商并签订相关协议。其中，联合授信额度包括企业在银行业金融机构、非银行业金融机构、其他渠道的债务融资，以及对集团外企业的担保。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（五）协同监测企业履约情况，发现企业存在不当行为，或出现风险信号时，联合采取风险防控、风险预警和风险处置措施。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联合授信委员会全体成员银行和企业之间应签署联合授信框架协议（以下简称“银企协议”）。银企协议内容应包括但不限于以下内容：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（一）成员银行应按融资合同和相关协议的约定向企业提供融资，满足企业合理融资需求；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（二）成员银行调低对企业授信额度时应提前1个月告知企业；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（三）成员银行在与企业约定的联合授信额度内向企业提供融资；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（四）企业在联合授信额度内，可自主选择成员银行作为融资业务合作对象，协商确定融资条件。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（五）企业应及时完整地向联合授信委员会披露所有关联方及关联交易情况，提供真实财务报表，在各类融资行为发生后5个工作日内告知联合授信委员会；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（六）企业通过联合授信委员会外的其他渠道，进行可能实质性改变企业债务状况的重大融资和重大对外担保前，应征得联合授信委员会同意；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（七）企业应允许在成员银行范围内共享企业提供的各类信息，并在银行业金融机构范围内共享企业融资台账信息，成员银行不得在约定的信息共享范围外泄露和滥用企业提供的信息。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银企协议中的约定事项应在成员银行与企业签订的融资合同中予以体现。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联合授信委员会应建立联席会议制度，负责审议决定重大事项。联席会议是联合授信委员会的决策机构，其决议对全体成员银行有约束力。联席会议应制定明确的议事规则和工作流程。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联席会议原则上每个季度召开一次。如遇重大事项，由牵头银行或占成员银行债权总金额三分之一以上比例成员银行提请，可召开临时联席会议。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联席会议审议批准事项，涉及设定和调整企业联合授信额度、启动和解除风险预警、制定和修订成员银行协议和银企协议等重大事项，应经占成员银行债权总金额三分之二以上比例成员银行及全体成员银行过半数同意；其他事项应经占成员银行债权总金额二分之一以上比例成员银行同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银行业金融机构向企业提供融资前，应查询该企业和企业所在集团联合授信机制的建立情况。已建立联合授信机制的企业，银行业金融机构应在成为联合授信委员会成员银行后，方可在联合授信额度内向该企业提供融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银行业金融机构在签署成员银行协议或以其他适当形式认可并承诺遵守成员银行协议后，自动加入联合授信委员会。牵头银行应做好相关登记和报备工作。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对企业的存量融资额以及拟新增融资额合计不超过企业融资总额5‰的银行业金融机构，在企业不突破联合授信额度的前提下，可不加入联合授信委员会向企业提供融资。但应在每次融资行为发生或融资余额发生变动5个工作日内向联合授信委员会报告该笔融资的相关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对企业融资余额为零的成员银行可主动退出该企业的联合授信委员会。连续12个月对企业融资余额为零的成员银行，自动退出该企业的联合授信委员会。牵头银行应做好相关登记和报备工作。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成员银行具有以下权利和义务：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（一）获得其他成员银行共享的企业信息；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（二）向联席会议提交议案；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（三）提请召开临时联席会议；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（四）遵守成员银行协议、银企协议和联席会议形成的各项决议；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（五）向成员银行真实全面地共享本行对企业的融资信息，以及企业向其报送的其他与融资相关的信息；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（六）调查收集企业其他相关信息，并及时与各成员银行共享；</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（七）成员银行协议中约定的其他权利或义务。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联合授信委员会应从成员银行中推选产生一家牵头银行，并可增设副牵头银行。担任牵头银行应符合以下条件：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（一）向企业提供的实际融资额居所有债权银行业金融机构前三位；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（二）与企业无关联关系。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牵头银行不再符合作为牵头银行条件或不愿意继续履行牵头银行职责的，联席会议应改选牵头银行。牵头银行履职不到位，可由二分之一以上成员银行提议改选牵头银行。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牵头银行应牵头履行以下职责：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（一）制定联合授信机制的各项工作制度；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（二）召集成员银行联席会议；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（三）研究认定企业集团的全部成员，提交联席会议审议；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（四）测算企业联合授信额度，设置融资风险预警线，提交联席会议审议；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（五）建立和维护企业融资台账，监测企业整体负债水平，监督企业银企协议履行情况；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（六）监督成员银行协议和联席会议各项决议的执行，向联席会议或银行业协会提出违约成员银行处理建议；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（七）按照本办法要求，代表联合授信委员会向银行业协会报送融资台账等应报送或备案的信息；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（八）成员银行协议中约定的其他权利和义务。</w:t>
      </w:r>
    </w:p>
    <w:p>
      <w:pPr>
        <w:spacing w:after="156" w:afterLines="50" w:line="360" w:lineRule="auto"/>
        <w:ind w:firstLine="482" w:firstLineChars="200"/>
        <w:outlineLvl w:val="0"/>
        <w:rPr>
          <w:rFonts w:cs="宋体" w:asciiTheme="majorEastAsia" w:hAnsiTheme="majorEastAsia" w:eastAsiaTheme="majorEastAsia"/>
          <w:b/>
          <w:bCs/>
        </w:rPr>
      </w:pPr>
      <w:bookmarkStart w:id="355" w:name="_Toc22284"/>
      <w:r>
        <w:rPr>
          <w:rFonts w:hint="eastAsia" w:cs="宋体" w:asciiTheme="majorEastAsia" w:hAnsiTheme="majorEastAsia" w:eastAsiaTheme="majorEastAsia"/>
          <w:b/>
          <w:bCs/>
        </w:rPr>
        <w:t>第三章联合风险防控</w:t>
      </w:r>
      <w:bookmarkEnd w:id="35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联合授信委员会应对企业运行管理、经营效益、重大项目投资、对外担保、关联交易、交叉违约等信用风险有关情况进行监测。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信息搜集、共享工作由牵头银行组织实施。各成员银行应按照成员银行协议，向牵头银行提供相关信息；牵头银行应及时向各成员银行分发相关信息。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各成员银行应健全信用风险管理体系，落实统一授信、穿透管理等要求，确保向联合授信机制报送信息真实准确。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 联合授信委员会可以根据企业的风险状况提出风险防控要求，但不得统一规定对企业的利率、期限、抵（质）押要求等融资条件。成员银行在不违反成员银行协议的前提下，自行确定融资条件，自主作出授信决策、独立进行审批，并按照本行对企业风险的评估，实施后续管理和资产分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 联合授信委员会应根据企业经营和财务情况测算其可承受的最高债务水平，就测算依据和测算结果与企业充分沟通，协商一致后共同确认企业联合授信额度。企业实际融资总额不得超过双方确认的联合授信额度。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联合授信委员会测算企业联合授信额度时应至少考虑以下要素：资产负债水平、利润及其增长率水平、经营现金流、所属行业、所在区域、还款历史、经营年限等。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 联合授信委员会应会同企业定期复评企业联合授信额度，企业因经营需要需调整联合授信额度的，可向联合授信委员会申请复评。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 计算企业集团实际融资总额时，应包括各成员银行认定的该企业集团所有成员（不含集团内金融类子公司）的融资。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 联合授信机制建立后，由牵头银行牵头组建专职小组，建立并维护企业融资台账。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融资台账应至少包括企业联合授信额度、实际融资和对外担保情况、剩余融资额度、融资违约情况等内容。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已确认的企业实际融资及对集团外企业担保，应在企业融资额度使用台账中逐笔登记，并等额扣减企业剩余融资额度。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 牵头银行应在成员银行间共享融资台账，并报送银行业协会。</w:t>
      </w:r>
    </w:p>
    <w:p>
      <w:pPr>
        <w:spacing w:after="156" w:afterLines="50" w:line="360" w:lineRule="auto"/>
        <w:ind w:firstLine="482" w:firstLineChars="200"/>
        <w:outlineLvl w:val="0"/>
        <w:rPr>
          <w:rFonts w:cs="宋体" w:asciiTheme="majorEastAsia" w:hAnsiTheme="majorEastAsia" w:eastAsiaTheme="majorEastAsia"/>
          <w:b/>
          <w:bCs/>
        </w:rPr>
      </w:pPr>
      <w:bookmarkStart w:id="356" w:name="_Toc27586"/>
      <w:r>
        <w:rPr>
          <w:rFonts w:hint="eastAsia" w:cs="宋体" w:asciiTheme="majorEastAsia" w:hAnsiTheme="majorEastAsia" w:eastAsiaTheme="majorEastAsia"/>
          <w:b/>
          <w:bCs/>
        </w:rPr>
        <w:t>第四章联合风险预警处置</w:t>
      </w:r>
      <w:bookmarkEnd w:id="35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 当企业发生以下情况之一时，进入企业融资风险预警状态：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（一）企业实际融资达到联合授信额度90%或联合授信委员会设置的融资风险预警线；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（二）银行对企业融资中出现数额较大的不良资产，企业发行的债券违约或出现其他重大风险事件；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（三）企业所处外部环境、公司治理、经营管理、对外投资、对外担保、关联交易等方面出现重大变化，有可能引发企业偿付困难的。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第三十条 进入风险预警状态后，牵头银行要组织召开联席会议，研究应对方案。对企业可能加大成员银行债权风险的新增融资，银行业金融机构要采取更加审慎严格的信贷审批标准、风险管控措施和相应风险缓释手段。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第三十一条 当预警情形已消除，或联合授信委员会认定相关预警信息对各成员银行债权不构成重大风险时，可解除风险预警状态。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第三十二条 当企业可能发生偿债风险时，联合授信委员会应与企业的其他债权人联合组建债权人委员会，集体研究债务重组等措施，有序开展债务重组、资产保全等相关工作。</w:t>
      </w:r>
    </w:p>
    <w:p>
      <w:pPr>
        <w:spacing w:after="156" w:afterLines="50" w:line="360" w:lineRule="auto"/>
        <w:ind w:firstLine="482" w:firstLineChars="200"/>
        <w:outlineLvl w:val="0"/>
        <w:rPr>
          <w:rFonts w:cs="宋体" w:asciiTheme="majorEastAsia" w:hAnsiTheme="majorEastAsia" w:eastAsiaTheme="majorEastAsia"/>
          <w:b/>
          <w:bCs/>
        </w:rPr>
      </w:pPr>
      <w:bookmarkStart w:id="357" w:name="_Toc3666"/>
      <w:r>
        <w:rPr>
          <w:rFonts w:hint="eastAsia" w:cs="宋体" w:asciiTheme="majorEastAsia" w:hAnsiTheme="majorEastAsia" w:eastAsiaTheme="majorEastAsia"/>
          <w:b/>
          <w:bCs/>
        </w:rPr>
        <w:t>第五章联合惩戒及监督管理</w:t>
      </w:r>
      <w:bookmarkEnd w:id="35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第三十三条 银行业协会应建立配套的统计信息系统，监测联合授信机制建立和运行情况，动态更新企业融资信息，并向银行业金融机构提供信息查询服务。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第三十四条 联合授信委员会授权牵头银行向银行业协会备案以下事项：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（一）联合授信机制成立后应在5个工作日内报备;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（二）修改银企协议或成员银行协议，做出调整联合授信额度等重大决策的，应于10个工作日内报备;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（三）企业进入风险预警状态应立即报备。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第三十五条 银行业协会应向银行业监督管理机构全面开放相关统计信息系统，并定期报告联合授信机制建立和运行情况。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第三十六条 对于违反银企协议，提供虚假信息，超出联合授信额度对外融资，逃废成员银行债务的企业，可由牵头银行组织成员银行按银企协议约定进行联合惩戒。情况严重的，银行业协会可将企业列入失信企业名单，并推送至全国信用信息共享平台，按照有关规定实现跨领域联合惩戒。</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第三十七条 对不履行约定义务的成员银行，联合授信委员会可依据成员银行协议予以处理。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第三十八条 对存在以下行为之一的银行业金融机构，银行业协会可采取相应的自律惩戒措施。对拒不纠正整改，影响联合授信机制运行，可能引发重大风险事件的，银行业协会应向银行业监督管理机构报告,银行业监督管理机构可依据有关规定采取监管措施或依法实施行政处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（一）银行业金融机构在未加入联合授信委员会前向已建立联合授信委员会的企业提供融资，符合第十五条规定情形的除外；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（二）成员银行违反成员银行协议，并未按照联合授信委员会要求采取纠正措施；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（三）成员银行违反银企协议，损害企业合法权益；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（四）未按要求向银行业协会报送和备案相关信息。</w:t>
      </w:r>
    </w:p>
    <w:p>
      <w:pPr>
        <w:spacing w:after="156" w:afterLines="50" w:line="360" w:lineRule="auto"/>
        <w:ind w:firstLine="482" w:firstLineChars="200"/>
        <w:outlineLvl w:val="0"/>
        <w:rPr>
          <w:rFonts w:cs="宋体" w:asciiTheme="majorEastAsia" w:hAnsiTheme="majorEastAsia" w:eastAsiaTheme="majorEastAsia"/>
          <w:b/>
          <w:bCs/>
        </w:rPr>
      </w:pPr>
      <w:bookmarkStart w:id="358" w:name="_Toc22968"/>
      <w:r>
        <w:rPr>
          <w:rFonts w:hint="eastAsia" w:cs="宋体" w:asciiTheme="majorEastAsia" w:hAnsiTheme="majorEastAsia" w:eastAsiaTheme="majorEastAsia"/>
          <w:b/>
          <w:bCs/>
        </w:rPr>
        <w:t>第六章附则</w:t>
      </w:r>
      <w:bookmarkEnd w:id="358"/>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第三十九条 本办法由中国银行保险监督管理委员会负责解释。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第四十条 按照本办法规定应建立联合授信机制的企业，相关债权银行业金融机构应在本办法实施3个月内建立联合授信机制。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第四十一条 联合授信机制建立时，若企业存量实际融资总额超过联合授信机制确定的联合授信额度，联合授信委员会应与企业协商确定达标过渡期，报银行业协会备案。过渡期原则上不超过3年。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超过联合授信额度的存量融资由联合授信委员会成员银行协商确定退出次序。</w:t>
      </w:r>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第四十二条 本办法自印发之日起施行。</w:t>
      </w:r>
    </w:p>
    <w:p>
      <w:pPr>
        <w:pStyle w:val="2"/>
        <w:numPr>
          <w:ilvl w:val="0"/>
          <w:numId w:val="0"/>
        </w:numPr>
        <w:ind w:left="922" w:leftChars="0" w:hanging="440" w:firstLineChars="0"/>
      </w:pPr>
      <w:bookmarkStart w:id="359" w:name="_Toc7861"/>
      <w:r>
        <w:rPr>
          <w:rFonts w:cs="宋体" w:asciiTheme="majorEastAsia" w:hAnsiTheme="majorEastAsia" w:eastAsiaTheme="majorEastAsia"/>
          <w:b/>
          <w:bCs/>
          <w:sz w:val="24"/>
          <w:szCs w:val="24"/>
          <w:lang w:val="en-US" w:eastAsia="zh-CN" w:bidi="ar-SA"/>
        </w:rPr>
        <w:t>98.</w:t>
      </w:r>
      <w:r>
        <w:rPr>
          <w:rFonts w:hint="eastAsia"/>
        </w:rPr>
        <w:t>中国人民银行关于修订《电子商业汇票系统管理办法》等四项制度的通知</w:t>
      </w:r>
      <w:bookmarkEnd w:id="359"/>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发文机构：中国人民银行</w:t>
      </w:r>
      <w:r>
        <w:rPr>
          <w:rFonts w:hint="eastAsia" w:cs="宋体" w:asciiTheme="majorEastAsia" w:hAnsiTheme="majorEastAsia" w:eastAsiaTheme="majorEastAsia"/>
        </w:rPr>
        <w:tab/>
      </w:r>
      <w:r>
        <w:rPr>
          <w:rFonts w:hint="eastAsia" w:cs="宋体" w:asciiTheme="majorEastAsia" w:hAnsiTheme="majorEastAsia" w:eastAsiaTheme="majorEastAsia"/>
        </w:rPr>
        <w:t>文号：银发[2018]152号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人民银行上海总部，各分行、营业管理部、各省会（首府）城市中心支行，深圳市中心支行；国家开发银行，各政策性银行、国有商业银行、股份制商业银行，中国邮政储蓄银行；城市商业银行资金清算中心、农信银资金清算中心、上海票据交易所股份有限公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按照相关工作安排，为建立全国统一的票据市场，人民银行已于2017年10月7日将电子商业汇票系统移交上海票据交易所股份有限公司运营。现将修订后的《电子商业汇票系统管理办法》（附件1）、《电子商业汇票系统运行管理办法》（附件2）、《电子商业汇票系统数字证书管理办法》（附件3）和《电子商业汇票系统危机处置预案》（附件4）印发给你们，请遵照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原《电子商业汇票系统管理办法》、《电子商业汇票系统运行管理办法》、《电子商业汇票系统数字证书管理办法》、《电子商业汇票系统危机处置预案》（银发﹝2009﹞328号文印发）和《中国人民银行办公厅关于简化电子商业汇票系统接入审核程序的通知》（银办发﹝2015﹞90号）同时废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请人民银行上海总部，各分行、营业管理部、省会（首府）城市中心支行，深圳市中心支行将本通知转发至辖区内人民银行分支机构，各城市商业银行、农村商业银行、农村合作银行、农村信用社、村镇银行、外资银行和财务公司。</w:t>
      </w:r>
    </w:p>
    <w:p>
      <w:pPr>
        <w:spacing w:after="156" w:afterLines="50" w:line="360" w:lineRule="auto"/>
        <w:ind w:firstLine="480" w:firstLineChars="200"/>
        <w:outlineLvl w:val="0"/>
        <w:rPr>
          <w:rFonts w:cs="宋体" w:asciiTheme="majorEastAsia" w:hAnsiTheme="majorEastAsia" w:eastAsiaTheme="majorEastAsia"/>
        </w:rPr>
      </w:pPr>
      <w:bookmarkStart w:id="360" w:name="_Toc22751"/>
      <w:r>
        <w:rPr>
          <w:rFonts w:hint="eastAsia" w:cs="宋体" w:asciiTheme="majorEastAsia" w:hAnsiTheme="majorEastAsia" w:eastAsiaTheme="majorEastAsia"/>
        </w:rPr>
        <w:t>中国人民银行</w:t>
      </w:r>
      <w:bookmarkEnd w:id="360"/>
    </w:p>
    <w:p>
      <w:pPr>
        <w:spacing w:after="156" w:afterLines="50" w:line="360" w:lineRule="auto"/>
        <w:ind w:firstLine="480" w:firstLineChars="200"/>
        <w:rPr>
          <w:rFonts w:cs="宋体" w:asciiTheme="majorEastAsia" w:hAnsiTheme="majorEastAsia" w:eastAsiaTheme="majorEastAsia"/>
        </w:rPr>
        <w:sectPr>
          <w:pgSz w:w="11906" w:h="16838"/>
          <w:pgMar w:top="1440" w:right="1800" w:bottom="1440" w:left="1800" w:header="851" w:footer="992" w:gutter="0"/>
          <w:cols w:space="425" w:num="1"/>
          <w:docGrid w:type="lines" w:linePitch="312" w:charSpace="0"/>
        </w:sectPr>
      </w:pPr>
      <w:r>
        <w:rPr>
          <w:rFonts w:hint="eastAsia" w:cs="宋体" w:asciiTheme="majorEastAsia" w:hAnsiTheme="majorEastAsia" w:eastAsiaTheme="majorEastAsia"/>
        </w:rPr>
        <w:t>2018年6月4日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电子商业汇票系统管理办法</w:t>
      </w:r>
    </w:p>
    <w:p>
      <w:pPr>
        <w:spacing w:after="156" w:afterLines="50" w:line="360" w:lineRule="auto"/>
        <w:ind w:firstLine="480" w:firstLineChars="200"/>
        <w:outlineLvl w:val="0"/>
        <w:rPr>
          <w:rFonts w:cs="宋体" w:asciiTheme="majorEastAsia" w:hAnsiTheme="majorEastAsia" w:eastAsiaTheme="majorEastAsia"/>
        </w:rPr>
      </w:pPr>
      <w:bookmarkStart w:id="361" w:name="_Toc21234"/>
      <w:r>
        <w:rPr>
          <w:rFonts w:hint="eastAsia" w:cs="宋体" w:asciiTheme="majorEastAsia" w:hAnsiTheme="majorEastAsia" w:eastAsiaTheme="majorEastAsia"/>
        </w:rPr>
        <w:t>第一章　总则</w:t>
      </w:r>
      <w:bookmarkEnd w:id="361"/>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第一条　为加强电子商业汇票系统管理，保障电子商业汇票系统安全、稳定、高效运行，依据《中华人民共和国中国人民银行法》、《中华人民共和国票据法》、《中华人民共和国电子签名法》、《电子商业汇票业务管理办法》（中国人民银行令〔2009〕第2号发布）、《票据交易管理办法》（中国人民银行公告〔2016〕第29号公布）及有关法律制度，制定本办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第二条上海票据交易所股份有限公司（以下简称上海票据交易所）是中国人民银行指定的电子商业汇票系统运营者，负责电子商业汇票系统的建设和运营。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上海票据交易所以及通过电子商业汇票系统处理业务的参与者适用本办法。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第三条电子商业汇票系统是指经中国人民银行批准建立，依托网络和计算机技术，接收、存储、发送电子商业汇票数据电文，提供与电子商业汇票货币给付、资金清算行为等相关服务的业务处理平台。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电子商业汇票的登记、流转和结清等业务必须通过上海票据交易所电子商业汇票系统等相关系统办理。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第四条电子商业汇票系统的系统参与者（以下简称系统参与者）是指具有大额支付系统行号，直接接入并通过电子商业汇票系统处理电子商业汇票业务的银行业金融机构、财务公司（以下统称金融机构）。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第五条系统参与者通过接入点以直连方式接入电子商业汇票系统。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接入点是指金融机构接入电子商业汇票系统的接入系统，系统参与者通过接入点发送和接收相关业务。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电子商业汇票系统对接入点分配唯一的接入点代码。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第六条直连方式是指系统参与者通过电子商业汇票系统数据接口办理电子商业汇票业务的接入方式。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直连分为自主直连和集中接入直连。系统参与者可自主选择直连接入方式，但只能以一种方式接入电子商业汇票系统。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自主直连是指金融机构通过自有系统直连接入电子商业汇票系统的接入方式。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集中接入直连是指金融机构通过集中接入技术服务机构直连接入电子商业汇票系统的接入方式。上海票据交易所负责制定集中接入技术服务机构的相关规定。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第七条上海票据交易所应确保电子商业汇票系统业务指令接收、存储和发送的准确无误，保障系统参与者的合法权益。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第八条系统参与者应自觉遵守中国人民银行以及上海票据交易所的相关规定。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第九条上海票据交易所和系统参与者应采取有效措施，建立健全与电子商业汇票系统相关的内部管理制度，防范与电子商业汇票系统相关的信用风险、流动性风险、运行风险、法律风险和系统性风险。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第十条上海票据交易所和系统参与者应建立健全故障处理和应急处置机制，保证电子商业汇票系统的安全、稳定运行和业务的正常处理。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第十一条电子商业汇票系统运行时间由上海票据交易所统一规定。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第十二条通过电子商业汇票系统发送和流转的业务处理信息，应符合中国人民银行规定的信息格式，并采用电子签名方式保障数据安全。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第十三条上海票据交易所对电子商业汇票系统核心业务功能进行调整的，报中国人民银行同意后施行；对电子商业汇票系统非核心业务功能进行调整的，报中国人民银行备案。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上海票据交易所应于每年1月31日前向中国人民银行书面报告上一年度电子商业汇票系统运行情况。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第十四条中国人民银行依法履行如下监管职责：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（一）制定电子商业汇票系统管理制度；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（二）审核电子商业汇票系统核心业务功能调整；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（三）指导电子商业汇票系统参与者的准入、变更和退出管理工作；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（四）监督检查上海票据交易所和系统参与者的业务活动；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（五）审核电子商业汇票系统重大危机处置方案；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（六）法律法规以及中国人民银行规章规定的其他监管职责。</w:t>
      </w:r>
    </w:p>
    <w:p>
      <w:pPr>
        <w:spacing w:after="156" w:afterLines="50" w:line="360" w:lineRule="auto"/>
        <w:ind w:firstLine="480" w:firstLineChars="200"/>
        <w:outlineLvl w:val="0"/>
        <w:rPr>
          <w:rFonts w:cs="宋体" w:asciiTheme="majorEastAsia" w:hAnsiTheme="majorEastAsia" w:eastAsiaTheme="majorEastAsia"/>
        </w:rPr>
      </w:pPr>
      <w:bookmarkStart w:id="362" w:name="_Toc24378"/>
      <w:r>
        <w:rPr>
          <w:rFonts w:hint="eastAsia" w:cs="宋体" w:asciiTheme="majorEastAsia" w:hAnsiTheme="majorEastAsia" w:eastAsiaTheme="majorEastAsia"/>
        </w:rPr>
        <w:t>第二章　准入、变更和退出</w:t>
      </w:r>
      <w:bookmarkEnd w:id="36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第十五条上海票据交易所在中国人民银行指导下开展系统参与者的准入、变更和退出申请的受理和审核工作。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第十六条加入电子商业汇票系统的金融机构应具备下列条件：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（一）拥有大额支付系统行号。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（二）满足加入电子商业汇票系统的相关技术及安全性要求。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（三）具有健全的电子商业汇票系统相关内部管理制度。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（四）中国人民银行以及上海票据交易所规定的其他条件。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第十七条金融机构加入电子商业汇票系统，应由其法人机构按照申请、审核、实施和加入的程序办理。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申请是指金融机构按规定以书面形式向上海票据交易所提交加入电子商业汇票系统请求的行为。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审核是指上海票据交易所审查、核准金融机构加入电子商业汇票系统的行为。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实施是指金融机构按规定完成内部系统接入电子商业汇票系统前各项准备工作的行为。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加入是指金融机构正式接入电子商业汇票系统的行为。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第十八条金融机构及其分支机构需加入电子商业汇票系统的，应以法人为单位提出书面申请，并遵循上海票据交易所关于系统参与者加入的相关规定。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申请集中接入直连的金融机构，应同时提交集中接入技术服务机构同意其使用接入服务的书面意见。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第十九条上海票据交易所受理申请材料后，应在20个工作日内予以审核，并通知金融机构审核结果。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第二十条通过审核的金融机构可以进行工程实施。工程实施完成后，上海票据交易所进行工程验收，并出具验收报告。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集中接入技术服务机构在提供集中接入服务前，应通过上海票据交易所的工程验收，并取得验收报告。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第二十一条通过验收的金融机构由上海票据交易所确定其加入电子商业汇票系统的日期。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拟加入金融机构为财务公司的，应按属地管理原则，向中国人民银行上海总部、分行、营业管理部、省会（首府）城市中心支行或深圳市中心支行提出机构代码申请，由中国人民银行上海总部、分行、营业管理部、省会（首府）城市中心支行或深圳市中心支行按照支付系统行号编码标准为其编制财务公司机构代码；财务公司将机构代码提交上海票据交易所，由上海票据交易所为其完成机构代码数据申报流程后，确定其加入电子商业汇票系统的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第二十二条金融机构以法人为单位已加入电子商业汇票系统、需新增分支机构作为电子商业汇票系统的系统参与者的，原则上由金融机构法人向上海票据交易所提出申请，并提交上海票据交易所要求的申请材料。</w:t>
      </w:r>
    </w:p>
    <w:p>
      <w:pPr>
        <w:spacing w:after="156" w:afterLines="50" w:line="360" w:lineRule="auto"/>
        <w:ind w:firstLine="480" w:firstLineChars="200"/>
        <w:rPr>
          <w:rFonts w:cs="宋体" w:asciiTheme="majorEastAsia" w:hAnsiTheme="majorEastAsia" w:eastAsiaTheme="majorEastAsia"/>
        </w:rPr>
      </w:pPr>
      <w:bookmarkStart w:id="363" w:name="OLE_LINK7"/>
      <w:r>
        <w:rPr>
          <w:rFonts w:hint="eastAsia" w:cs="宋体" w:asciiTheme="majorEastAsia" w:hAnsiTheme="majorEastAsia" w:eastAsiaTheme="majorEastAsia"/>
        </w:rPr>
        <w:t>上海票据交易所应确定新增系统参与者的生效日期，</w:t>
      </w:r>
      <w:bookmarkEnd w:id="363"/>
      <w:r>
        <w:rPr>
          <w:rFonts w:hint="eastAsia" w:cs="宋体" w:asciiTheme="majorEastAsia" w:hAnsiTheme="majorEastAsia" w:eastAsiaTheme="majorEastAsia"/>
        </w:rPr>
        <w:t>并在电子商业汇票系统中进行维护。</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拟新增系统参与者为财务公司分支机构的，应按属地管理原则，向中国人民银行上海总部、分行、营业管理部、省会（首府）城市中心支行或深圳市中心支行提出机构代码申请，由中国人民银行上海总部、分行、营业管理部、省会（首府）城市中心支行或深圳市中心支行按照支付系统行号编码标准为其编制机构代码；由财务公司法人将分支机构的机构代码提交上海票据交易所，由上海票据交易所为其完成机构代码数据申报流程后，确定新增系统参与者的生效日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第二十三条金融机构需变更接入方式的，原则上由法人向上海票据交易所提出申请，按照加入系统的程序办理。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第二十四条系统参与者退出电子商业汇票系统的，原则上由系统参与者的法人向上海票据交易所提出申请，并提交上海票据交易所要求的申请材料。</w:t>
      </w:r>
    </w:p>
    <w:p>
      <w:pPr>
        <w:spacing w:after="156" w:afterLines="50" w:line="360" w:lineRule="auto"/>
        <w:ind w:firstLine="480" w:firstLineChars="200"/>
        <w:outlineLvl w:val="0"/>
        <w:rPr>
          <w:rFonts w:cs="宋体" w:asciiTheme="majorEastAsia" w:hAnsiTheme="majorEastAsia" w:eastAsiaTheme="majorEastAsia"/>
        </w:rPr>
      </w:pPr>
      <w:bookmarkStart w:id="364" w:name="_Toc11850"/>
      <w:r>
        <w:rPr>
          <w:rFonts w:hint="eastAsia" w:cs="宋体" w:asciiTheme="majorEastAsia" w:hAnsiTheme="majorEastAsia" w:eastAsiaTheme="majorEastAsia"/>
        </w:rPr>
        <w:t>上海票据交易所确定退出日期后，在电子商业汇票系统中进行维护。</w:t>
      </w:r>
      <w:bookmarkEnd w:id="36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系统参与者按本办法规定需建立承接关系的，应在退出之前遵照本办法有关建立承接关系的规定执行。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w:t>
      </w:r>
      <w:bookmarkStart w:id="365" w:name="OLE_LINK9"/>
      <w:r>
        <w:rPr>
          <w:rFonts w:hint="eastAsia" w:cs="宋体" w:asciiTheme="majorEastAsia" w:hAnsiTheme="majorEastAsia" w:eastAsiaTheme="majorEastAsia"/>
        </w:rPr>
        <w:t>系统参与者退出电子商业汇票系统的，应自行指定另一系统参与者</w:t>
      </w:r>
      <w:bookmarkEnd w:id="365"/>
      <w:r>
        <w:rPr>
          <w:rFonts w:hint="eastAsia" w:cs="宋体" w:asciiTheme="majorEastAsia" w:hAnsiTheme="majorEastAsia" w:eastAsiaTheme="majorEastAsia"/>
        </w:rPr>
        <w:t>作为电子商业汇票业务的承接者。若承接者和被承接者属于同一法人机构，应由承接者和被承接者的法人向上海票据交易所提交《承接申请（同一法人机构间承接）》（附1）；若承接者和被承接者分属不同法人机构，应由承接者的法人向上海票据交易所报送《承接申请（不同法人机构间承接）》（附2）。</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上海票据交易所确定承接生效日期后，在电子商业汇票系统中进行维护。自承接关系生效日起，被承接者自身及其客户的票据业务通过承接者办理。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被承接的银行业金融机构应选择银行业金融机构作为承接者。</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被承接的财务公司可选择银行业金融机构或财务公司作为承接者。</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第二十六条系统参与者出现下列情况之一的，上海票据交易所可强制其退出电子商业汇票系统或限制其部分功能，并报告中国人民银行：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（一）提供虚假申请材料，采取欺骗手段加入电子商业汇票系统的。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（二）严重违反电子商业汇票系统相关制度，影响业务正常处理的。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（三）存在重大风险隐患，影响电子商业汇票系统安全运行的。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（四）系统参与者违规发展被代理机构，造成重大风险隐患的。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（五）其他影响电子商业汇票系统安全、稳定运行的。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上海票据交易所强制系统参与者退出电子商业汇票系统或限制其部分功能的，应向其法人送达书面通知。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第二十七条自关于退出的书面通知送达之日起，存在票据债权债务关系的系统参与者进入退出等待期，期间不得开展新业务。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票据债权债务关系结清或由其他系统参与者承接的，退出等待期结束，系统参与者正式退出。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第二十八条被强制退出电子商业汇票系统的系统参与者，自退出之日起2年内不得申请加入电子商业汇票系统。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业务代理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业务代理是指未直连接入电子商业汇票系统的银行业金融机构、财务公司或作为银行间债券市场交易主体的其他金融机构采取通过电子商业汇票系统的系统参与者办理电子商业汇票业务的业务办理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提供电子商业汇票业务代理服务的系统参与者称为代理机构。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通过代理机构办理电子商业汇票业务的金融机构称为被代理机构。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第三十条拟提供电子商业汇票业务代理服务的金融机构，应当以法人为单位报经上海票据交易所同意。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一条代理机构应当由其法人定期向上海票据交易所报告电子商业汇票业务代理情况，包括代理机构和被代理机构的机构信息、被代理机构开展电子商业汇票业务的情况等。上海票据交易所对代理机构业务开展的合规性进行审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二条代理机构应当加强对被代理机构的资质管理。对被代理机构开办电子商业汇票业务证明文件的真实性、完整性和合规性进行严格审核，对被代理机构的真实性及其加入电子商业汇票系统的真实意愿负责。对已经加入电子商业汇票系统的参与者，不得为其提供电子商业汇票业务代理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代理机构应按照中国人民银行规定为被代理机构开立人民币同业银行结算账户，用于办理电子商业汇票业务。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被代理机构只能选择一家代理机构办理电子商业汇票业务。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第三十三条代理机构应当加强对被代理机构的日常管理。对于存在可疑情形的，应当停止提供电子商业汇票业务代理服务，并向上海票据交易所报告。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第三十四条代理机构未履行尽职调查责任引发风险事件的，上海票据交易所可视情节轻重采取函告、约谈、暂停或取消其业务代理权限等措施。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第三十五条被代理机构法人直连接入电子商业汇票系统的，自接入之日起，代理机构应当停止为被代理机构提供新增电子商业汇票业务代理服务，存续业务可以继续以业务代理方式结清。</w:t>
      </w:r>
    </w:p>
    <w:p>
      <w:pPr>
        <w:spacing w:after="156" w:afterLines="50" w:line="360" w:lineRule="auto"/>
        <w:ind w:firstLine="480" w:firstLineChars="200"/>
        <w:outlineLvl w:val="0"/>
        <w:rPr>
          <w:rFonts w:cs="宋体" w:asciiTheme="majorEastAsia" w:hAnsiTheme="majorEastAsia" w:eastAsiaTheme="majorEastAsia"/>
        </w:rPr>
      </w:pPr>
      <w:bookmarkStart w:id="366" w:name="_Toc11108"/>
      <w:bookmarkStart w:id="367" w:name="_Toc653"/>
      <w:bookmarkStart w:id="368" w:name="_Toc17568"/>
      <w:bookmarkStart w:id="369" w:name="_Toc31502"/>
      <w:r>
        <w:rPr>
          <w:rFonts w:hint="eastAsia" w:cs="宋体" w:asciiTheme="majorEastAsia" w:hAnsiTheme="majorEastAsia" w:eastAsiaTheme="majorEastAsia"/>
        </w:rPr>
        <w:t>第四章　业务处理</w:t>
      </w:r>
      <w:bookmarkEnd w:id="366"/>
      <w:bookmarkEnd w:id="367"/>
      <w:bookmarkEnd w:id="368"/>
      <w:bookmarkEnd w:id="369"/>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第三十六条电子商业汇票系统支持电子商业汇票票据托管业务、信息接收和存储业务、信息发送业务、信息更新业务、电子商业汇票票款对付业务和信息服务业务。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第三十七条电子商业汇票票据托管业务是指电子商业汇票系统负责保管经系统登记的电子商业汇票的业务。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第三十八条　电子商业汇票票据信息接收和存储业务是指电子商业汇票系统接收系统参与者发来的票据当事人的各类行为申请和回复，并将其存储在系统内的业务。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第三十九条电子商业汇票信息发送业务是指电子商业汇票系统根据发起方内部系统提交的电子商业汇票信息、向接收方内部系统转发相关信息，以及根据业务处理需要向系统参与者主动发送相关信息的业务。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电子商业汇票系统转发票据信息时，只转发本次票据行为当事人的签章，不转发历史票据行为当事人的签章。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第四十条电子商业汇票信息更新业务是指电子商业汇票系统根据系统参与者发来的票据当事人的票据行为信息，实时记录票面信息和行为信息的业务。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第四十一条电子商业汇票票款对付业务是指电子商业汇票系统提供与电子商业汇票提示付款、贴现、转贴现、再贴现相关的实时资金清算服务的业务。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第四十二条电子商业汇票信息服务业务指电子商业汇票系统提供单笔或批量电子商业汇票票据信息查询、电子商业汇票当事人支付信用信息查询、系统参与者相关信息查询、广播式公告等信息发布服务的业务。</w:t>
      </w:r>
    </w:p>
    <w:p>
      <w:pPr>
        <w:spacing w:after="156" w:afterLines="50" w:line="360" w:lineRule="auto"/>
        <w:ind w:firstLine="480" w:firstLineChars="200"/>
        <w:outlineLvl w:val="0"/>
        <w:rPr>
          <w:rFonts w:cs="宋体" w:asciiTheme="majorEastAsia" w:hAnsiTheme="majorEastAsia" w:eastAsiaTheme="majorEastAsia"/>
        </w:rPr>
      </w:pPr>
      <w:bookmarkStart w:id="370" w:name="_Toc12113"/>
      <w:bookmarkStart w:id="371" w:name="_Toc28163"/>
      <w:bookmarkStart w:id="372" w:name="_Toc26072"/>
      <w:r>
        <w:rPr>
          <w:rFonts w:hint="eastAsia" w:cs="宋体" w:asciiTheme="majorEastAsia" w:hAnsiTheme="majorEastAsia" w:eastAsiaTheme="majorEastAsia"/>
        </w:rPr>
        <w:t>第五章　故障处理</w:t>
      </w:r>
      <w:bookmarkEnd w:id="370"/>
      <w:bookmarkEnd w:id="371"/>
      <w:bookmarkEnd w:id="37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第四十三条上海票据交易所、金融机构应建立健全电子商业汇票系统故障处理和突发事件应急处置机制，保障业务处理的连续性、数据的完整性和资金的安全性。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电子商业汇票系统突发事件是指影响电子商业汇票系统正常运行的突发自然灾害、事故灾害、公共卫生事件、社会安全事件等突发事件。</w:t>
      </w:r>
    </w:p>
    <w:p>
      <w:pPr>
        <w:spacing w:after="156" w:afterLines="50" w:line="360" w:lineRule="auto"/>
        <w:ind w:firstLine="480" w:firstLineChars="200"/>
        <w:rPr>
          <w:rFonts w:cs="宋体" w:asciiTheme="majorEastAsia" w:hAnsiTheme="majorEastAsia" w:eastAsiaTheme="majorEastAsia"/>
        </w:rPr>
      </w:pPr>
      <w:bookmarkStart w:id="373" w:name="OLE_LINK11"/>
      <w:r>
        <w:rPr>
          <w:rFonts w:hint="eastAsia" w:cs="宋体" w:asciiTheme="majorEastAsia" w:hAnsiTheme="majorEastAsia" w:eastAsiaTheme="majorEastAsia"/>
        </w:rPr>
        <w:t>第四十四条上海票据交易所、金融机构应做好电子商业汇票系统运行异常信息和突发事件信息的收集、分析和报告工作，</w:t>
      </w:r>
      <w:bookmarkEnd w:id="373"/>
      <w:r>
        <w:rPr>
          <w:rFonts w:hint="eastAsia" w:cs="宋体" w:asciiTheme="majorEastAsia" w:hAnsiTheme="majorEastAsia" w:eastAsiaTheme="majorEastAsia"/>
        </w:rPr>
        <w:t>建立健全系统运行异常和突发事件预警机制，做到早发现、早报告、早准备。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第四十五条上海票据交易所、金融机构在电子商业汇票系统发生故障时，应按照“先报告、后处理，尽快恢复运行”的原则进行处置。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金融机构发生系统故障时，应及时向上海票据交易所报告；上海票据交易所发生系统故障或接到金融机构报告的系统故障时，应及时向中国人民银行报告。系统发生影响业务正常处理的重大故障时，应在故障发生后半小时内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第四十六条故障报告内容应包括故障性质、影响系统运行情况、影响业务处理情况、现场处置情况、启动技术应急处置预案情况等。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故障报告应采用书面报告的形式，情况紧急的，可采用先电话报告后书面报告的形式。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第四十七条接入点前置机与电子商业汇票系统出现联机故障，应启动故障应急处置机制，尽快排除故障，恢复正常工作。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如遇接入点发生故障，则接入点在故障恢复后，可以向上海票据交易所提交申请，补发故障期间的业务报文。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第四十八条接入点发生故障后，应按以下规则进行业务核对：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接入点在故障当天日终前恢复正常，则电子商业汇票系统与接入点进行正常日终对账。接入点当天日终前不能恢复正常，且故障日数据在系统数据保存期内，则电子商业汇票系统在接入点恢复正常当日将故障日业务核对报文下发给接入点，完成故障日的对账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接入点当天日终前不能恢复正常，且故障日数据超出了系统数据保存期，金融机构应以书面形式向上海票据交易所申请，通过重新导入数据的方式，保证金融机构内部系统数据与电子商业汇票系统数据相符。</w:t>
      </w:r>
    </w:p>
    <w:p>
      <w:pPr>
        <w:spacing w:after="156" w:afterLines="50" w:line="360" w:lineRule="auto"/>
        <w:ind w:firstLine="480" w:firstLineChars="200"/>
        <w:rPr>
          <w:rFonts w:cs="宋体" w:asciiTheme="majorEastAsia" w:hAnsiTheme="majorEastAsia" w:eastAsiaTheme="majorEastAsia"/>
        </w:rPr>
      </w:pPr>
      <w:bookmarkStart w:id="374" w:name="_Toc204575085"/>
      <w:r>
        <w:rPr>
          <w:rFonts w:hint="eastAsia" w:cs="宋体" w:asciiTheme="majorEastAsia" w:hAnsiTheme="majorEastAsia" w:eastAsiaTheme="majorEastAsia"/>
        </w:rPr>
        <w:t>第四十九条</w:t>
      </w:r>
      <w:bookmarkEnd w:id="374"/>
      <w:r>
        <w:rPr>
          <w:rFonts w:hint="eastAsia" w:cs="宋体" w:asciiTheme="majorEastAsia" w:hAnsiTheme="majorEastAsia" w:eastAsiaTheme="majorEastAsia"/>
        </w:rPr>
        <w:t>电子商业汇票系统与大额支付系统出现联机故障时，系统运营者应按规定启动故障应急处置方案，尽快排除故障，恢复正常工作。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在联机故障的情况下，电子商业汇票系统不接受票款对付业务报文，退回系统参与者发来的票款对付业务报文。联机恢复正常后，电子商业汇票系统按照正常业务流程处理票款对付业务。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第五十条电子商业汇票系统故障排除后，上海票据交易所和金融机构应尽快做好业务数据的恢复和核对工作，尽快恢复系统的正常运行和业务的正常处理。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第五十一条系统发生重大故障且在可容忍时间内无法排除的，经中国人民银行同意，上海票据交易所可宣告电子商业汇票系统暂停运行，并按有关规定启动故障救援程序。</w:t>
      </w:r>
      <w:bookmarkStart w:id="375" w:name="_Toc17037"/>
      <w:bookmarkStart w:id="376" w:name="_Toc8414"/>
      <w:bookmarkStart w:id="377" w:name="_Toc22500"/>
    </w:p>
    <w:p>
      <w:pPr>
        <w:spacing w:after="156" w:afterLines="50" w:line="360" w:lineRule="auto"/>
        <w:ind w:firstLine="480" w:firstLineChars="200"/>
        <w:outlineLvl w:val="0"/>
        <w:rPr>
          <w:rFonts w:cs="宋体" w:asciiTheme="majorEastAsia" w:hAnsiTheme="majorEastAsia" w:eastAsiaTheme="majorEastAsia"/>
        </w:rPr>
      </w:pPr>
      <w:bookmarkStart w:id="378" w:name="_Toc30053"/>
      <w:r>
        <w:rPr>
          <w:rFonts w:hint="eastAsia" w:cs="宋体" w:asciiTheme="majorEastAsia" w:hAnsiTheme="majorEastAsia" w:eastAsiaTheme="majorEastAsia"/>
        </w:rPr>
        <w:t>第六章　附则</w:t>
      </w:r>
      <w:bookmarkEnd w:id="375"/>
      <w:bookmarkEnd w:id="376"/>
      <w:bookmarkEnd w:id="377"/>
      <w:bookmarkEnd w:id="378"/>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第五十二条本办法由中国人民银行负责解释和修订。</w:t>
      </w:r>
    </w:p>
    <w:p>
      <w:pPr>
        <w:spacing w:after="156" w:afterLines="50" w:line="360" w:lineRule="auto"/>
        <w:ind w:firstLine="480" w:firstLineChars="200"/>
        <w:rPr>
          <w:rFonts w:cs="宋体" w:asciiTheme="majorEastAsia" w:hAnsiTheme="majorEastAsia" w:eastAsiaTheme="majorEastAsia"/>
        </w:rPr>
      </w:pPr>
      <w:bookmarkStart w:id="379" w:name="I5672594"/>
      <w:bookmarkEnd w:id="379"/>
      <w:r>
        <w:rPr>
          <w:rFonts w:hint="eastAsia" w:cs="宋体" w:asciiTheme="majorEastAsia" w:hAnsiTheme="majorEastAsia" w:eastAsiaTheme="majorEastAsia"/>
        </w:rPr>
        <w:t>第五十三条本办法自印发之日起施行。</w:t>
      </w:r>
    </w:p>
    <w:p>
      <w:pPr>
        <w:spacing w:after="156" w:afterLines="50" w:line="360" w:lineRule="auto"/>
        <w:ind w:firstLine="480" w:firstLineChars="200"/>
        <w:rPr>
          <w:rFonts w:cs="宋体" w:asciiTheme="majorEastAsia" w:hAnsiTheme="majorEastAsia" w:eastAsiaTheme="majorEastAsia"/>
        </w:rPr>
        <w:sectPr>
          <w:footerReference r:id="rId4" w:type="default"/>
          <w:endnotePr>
            <w:numFmt w:val="decimal"/>
          </w:endnotePr>
          <w:pgSz w:w="11906" w:h="16838"/>
          <w:pgMar w:top="1247" w:right="1361" w:bottom="1247" w:left="1622" w:header="851" w:footer="595" w:gutter="0"/>
          <w:cols w:space="720" w:num="1"/>
          <w:docGrid w:type="lines" w:linePitch="312" w:charSpace="0"/>
        </w:sectPr>
      </w:pPr>
    </w:p>
    <w:p>
      <w:pPr>
        <w:spacing w:after="156" w:afterLines="50" w:line="360" w:lineRule="auto"/>
        <w:ind w:firstLine="480" w:firstLineChars="200"/>
        <w:rPr>
          <w:rFonts w:cs="宋体" w:asciiTheme="majorEastAsia" w:hAnsiTheme="majorEastAsia" w:eastAsiaTheme="majorEastAsia"/>
        </w:rPr>
      </w:pPr>
      <w:bookmarkStart w:id="380" w:name="_Toc16462"/>
      <w:bookmarkStart w:id="381" w:name="_Toc8647"/>
      <w:bookmarkStart w:id="382" w:name="_Toc20124"/>
      <w:r>
        <w:rPr>
          <w:rFonts w:hint="eastAsia" w:cs="宋体" w:asciiTheme="majorEastAsia" w:hAnsiTheme="majorEastAsia" w:eastAsiaTheme="majorEastAsia"/>
        </w:rPr>
        <w:t>电子商业汇票系统运行管理办法</w:t>
      </w:r>
    </w:p>
    <w:p>
      <w:pPr>
        <w:spacing w:after="156" w:afterLines="50" w:line="360" w:lineRule="auto"/>
        <w:ind w:firstLine="480" w:firstLineChars="200"/>
        <w:outlineLvl w:val="0"/>
        <w:rPr>
          <w:rFonts w:cs="宋体" w:asciiTheme="majorEastAsia" w:hAnsiTheme="majorEastAsia" w:eastAsiaTheme="majorEastAsia"/>
        </w:rPr>
      </w:pPr>
      <w:bookmarkStart w:id="383" w:name="_Toc19821"/>
      <w:r>
        <w:rPr>
          <w:rFonts w:hint="eastAsia" w:cs="宋体" w:asciiTheme="majorEastAsia" w:hAnsiTheme="majorEastAsia" w:eastAsiaTheme="majorEastAsia"/>
        </w:rPr>
        <w:t>第一章　总则</w:t>
      </w:r>
      <w:bookmarkEnd w:id="383"/>
    </w:p>
    <w:bookmarkEnd w:id="380"/>
    <w:bookmarkEnd w:id="381"/>
    <w:bookmarkEnd w:id="382"/>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为规范电子商业汇票系统的运行管理，确保电子商业汇票系统的安全、稳定、高效运行，依据《中华人民共和国中国人民银行法》、《中华人民共和国票据法》、《中华人民共和国电子签名法》、《票据管理实施办法》、《支付结算办法》（银发〔1997〕393号文印发）、《电子商业汇票业务管理办法》（中国人民银行令〔2009〕第2号发布）及有关法律制度，制定本办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第二条电子商业汇票系统是经中国人民银行批准建立，依托网络和计算机技术，接收、存储、发送电子商业汇票数据电文，提供与电子商业汇票货币给付、资金清算行为等相关服务的业务处理平台。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第三条本办法适用于上海票据交易所股份有限公司（以下简称上海票据交易所）及单一前置机运行维护部门；负责电子商业汇票系统网络运行、维护和管理的部门；负责再贴现系统的日常运行部门。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第四条电子商业汇票系统运行管理范围包括：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（一）电子商业汇票系统国家处理中心（以下简称国家处理中心）。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（二）电子商业汇票系统城市处理中心（以下简称城市处理中心）。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（三）电子商业汇票系统单一前置机。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（四）电子商业汇票系统备份系统。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（五）电子商业汇票系统网络。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（六）电子商业汇票系统应用安全子系统。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（七）电子商业汇票系统再贴现系统。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上海票据交易所负责国家处理中心、城市处理中心、电子商业汇票系统备份系统、相关网络以及应用安全子系统的运行、维护和管理；负责再贴现系统维护；对系统运行及单一前置机的运行、维护进行指导和技术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电子商业汇票系统网络运行维护部门负责与电子商业汇票系统相关网络的运行、维护和管理。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单一前置机运行维护部门负责本单位（或本部门）电子商业汇票系统的运行、维护和管理。</w:t>
      </w:r>
    </w:p>
    <w:p>
      <w:pPr>
        <w:spacing w:after="156" w:afterLines="50" w:line="360" w:lineRule="auto"/>
        <w:ind w:firstLine="480" w:firstLineChars="200"/>
        <w:outlineLvl w:val="0"/>
        <w:rPr>
          <w:rFonts w:cs="宋体" w:asciiTheme="majorEastAsia" w:hAnsiTheme="majorEastAsia" w:eastAsiaTheme="majorEastAsia"/>
        </w:rPr>
      </w:pPr>
      <w:bookmarkStart w:id="384" w:name="_Toc3575"/>
      <w:r>
        <w:rPr>
          <w:rFonts w:hint="eastAsia" w:cs="宋体" w:asciiTheme="majorEastAsia" w:hAnsiTheme="majorEastAsia" w:eastAsiaTheme="majorEastAsia"/>
        </w:rPr>
        <w:t>再贴现系统日常运行部门负责再贴现系统的日常运行、维护。</w:t>
      </w:r>
      <w:bookmarkEnd w:id="384"/>
    </w:p>
    <w:p>
      <w:pPr>
        <w:spacing w:after="156" w:afterLines="50" w:line="360" w:lineRule="auto"/>
        <w:ind w:firstLine="480" w:firstLineChars="200"/>
        <w:outlineLvl w:val="0"/>
        <w:rPr>
          <w:rFonts w:cs="宋体" w:asciiTheme="majorEastAsia" w:hAnsiTheme="majorEastAsia" w:eastAsiaTheme="majorEastAsia"/>
        </w:rPr>
      </w:pPr>
      <w:bookmarkStart w:id="385" w:name="_Toc7268"/>
      <w:r>
        <w:rPr>
          <w:rFonts w:hint="eastAsia" w:cs="宋体" w:asciiTheme="majorEastAsia" w:hAnsiTheme="majorEastAsia" w:eastAsiaTheme="majorEastAsia"/>
        </w:rPr>
        <w:t>第二章　岗位管理</w:t>
      </w:r>
      <w:bookmarkEnd w:id="38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第六条上海票据交易所、单一前置机和再贴现系统的运行维护部门应当合理安排各岗位人员，确保电子商业汇票系统安全稳定运行。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上海票据交易所应当设置系统管理岗、业务主管岗、业务操作岗、电子商业汇票管理岗、系统参与者管理岗、市场拓展岗、法律合规岗、系统维护岗、注册中心（RA）管理岗、RA审核操作岗、RA录入操作岗和数字证书管理岗。</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单一前置机运行维护部门应当设置系统管理岗、业务主管岗、系统维护岗和业务操作岗。</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再贴现系统日常运行部门应根据再贴现业务处理需要，设置系统管理岗、业务主管岗、业务操作岗以及其他相关岗位。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业务操作岗和应用安全子系统RA录入操作岗可兼任，但不得与其他岗位兼任；系统管理岗和系统维护岗不得兼任业务主管岗、电子商业汇票管理岗、系统参与者管理岗、市场拓展岗和法律合规岗；RA管理岗、RA审核操作岗和RA录入操作岗不得相互兼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第九条系统管理岗负责增加、更改和删除用户。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业务主管岗（再贴现系统业务主管除外）负责系统业务运行，监控业务运行状况；设置业务参数，维护基础数据，处理或授权处理业务运行异常；组织业务操作员正确处理业务，对用户业务操作授权等；提供业务咨询、协调服务；负责审查证书绑定关系的真实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再贴现系统业务主管负责用户审核、数字证书的初始设定、变更和注销等。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第十一条业务操作岗（再贴现系统业务操作岗除外）负责根据业务主管授权进行日常运行操作和监控等；按照职责范围处理业务；对违规信息进行统计；负责有关业务清单打印。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再贴现系统业务操作岗负责再贴现业务的签收、赎回和到期提示付款等。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第十二条电子商业汇票管理岗负责识别并防范电子商业汇票运行风险，制定相关规章制度；研究并推动电子商业汇票系统业务发展；研究完善电子商业汇票系统功能。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第十三条系统参与者管理岗负责系统参与者加入、变更、退出和承接等相关设置；处理组织机构代码异常；协调新增系统参与者；及时通知系统参与者系统运行调整事项。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第十四条市场拓展岗负责统计分析业务信息，为系统参与者提供信息服务；建立服务平台，提供窗口服务。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法律合规岗负责按照业务管理要求，监督检查电子商业汇票系统运行管理制度落实情况；对各种票据纠纷进行取证、对票据信息泄露、篡改等事件进行评估并提出处置意见；协助司法、审计等有关机构查询举证；制定票据查冻扣管理办法和办理流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系统维护岗负责安装维护计算机软件、硬件及网络设备、网络系统；解决系统运行中出现的技术问题；设置系统参数，监控系统运行状态；定期完成系统和数据备份；提供技术咨询、协调服务；为系统稳定运行提供技术保障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第十七条RA管理岗负责电子商业汇票系统中有关操作人员证书的管理，包括对有关操作人员授权和颁发证书等。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第十八条RA审核操作岗负责电子商业汇票系统中系统参与者机构证书的审核等。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第十九条RA录入操作岗负责电子商业汇票系统中系统参与者机构证书的初审、录入、制作和撤销等。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第二十条数字证书管理岗负责证书下载、证书管理密钥口令更改、制定证书存放路径等。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第二十一条岗位人员变动应当办理岗位变动交接手续，并在系统中及时注销该用户。</w:t>
      </w:r>
    </w:p>
    <w:p>
      <w:pPr>
        <w:spacing w:after="156" w:afterLines="50" w:line="360" w:lineRule="auto"/>
        <w:ind w:firstLine="480" w:firstLineChars="200"/>
        <w:outlineLvl w:val="0"/>
        <w:rPr>
          <w:rFonts w:cs="宋体" w:asciiTheme="majorEastAsia" w:hAnsiTheme="majorEastAsia" w:eastAsiaTheme="majorEastAsia"/>
        </w:rPr>
      </w:pPr>
      <w:bookmarkStart w:id="386" w:name="_Toc17198"/>
      <w:r>
        <w:rPr>
          <w:rFonts w:hint="eastAsia" w:cs="宋体" w:asciiTheme="majorEastAsia" w:hAnsiTheme="majorEastAsia" w:eastAsiaTheme="majorEastAsia"/>
        </w:rPr>
        <w:t>第三章　操作管理</w:t>
      </w:r>
      <w:bookmarkEnd w:id="38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第二十二条上海票据交易所应当结合本单位实际，制定并严格执行电子商业汇票系统业务操作管理制度和运行操作规程，做好相关记录。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单一前置机运行维护部门应当制定相应的电子商业汇票系统运行操作规程，报上海票据交易所备案。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第二十三条上海票据交易所及单一前置机运行维护部门应当严格遵守电子商业汇票系统运行时间的规定。</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上海票据交易所调整电子商业汇票系统运行时间，应至少提前3个系统工作日通知系统参与者。</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w:t>
      </w:r>
      <w:bookmarkStart w:id="387" w:name="OLE_LINK13"/>
      <w:r>
        <w:rPr>
          <w:rFonts w:hint="eastAsia" w:cs="宋体" w:asciiTheme="majorEastAsia" w:hAnsiTheme="majorEastAsia" w:eastAsiaTheme="majorEastAsia"/>
        </w:rPr>
        <w:t>单一前置机运行维护部门在业务运行期间，未经上海票据交易所批准不得退出登录。</w:t>
      </w:r>
    </w:p>
    <w:bookmarkEnd w:id="387"/>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第二十五条上海票据交易所按照有关规定操作下列事项：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（一）基础数据导入。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（二）设置系统参与者的业务权限。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（三）设置城市处理中心和接入点对应关系。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（四）设置接入点和系统参与者对应关系。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（五）设置系统参与者承接关系。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（六）设置计费费率。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（七）设置业务数据联机保存期。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（八）为中国人民银行会计营业部门设置再贴现系统管理员和业务主管初始用户。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（九）设置规定的其他业务参数。</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第二十六条上海票据交易所各岗位人员在系统运行期间应当监控系统运行状态，并填写系统运行日志。</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发现未按时登录、报文丢失、日终业务核对信息无法下载等异常情况，应当按有关规定进行处理。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第二十七条上海票据交易所应对收到提示付款指令未及时发出回执、组织机构代码异常、电子商业汇票支付信用信息以及系统运行情况进行统计监测。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第二十八条电子商业汇票系统行名行号由上海票据交易所依据中国人民银行的相关规定进行统一管理和维护，并可根据需要向单一前置机运行维护部门提供行名行号等基础数据。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上海票据交易所和单一前置机运行维护部门不得擅自对行名行号进行增加、更改或删除。</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系统参与者应当</w:t>
      </w:r>
      <w:bookmarkStart w:id="388" w:name="OLE_LINK14"/>
      <w:r>
        <w:rPr>
          <w:rFonts w:hint="eastAsia" w:cs="宋体" w:asciiTheme="majorEastAsia" w:hAnsiTheme="majorEastAsia" w:eastAsiaTheme="majorEastAsia"/>
        </w:rPr>
        <w:t>及时申报行名行号的承接关系，</w:t>
      </w:r>
      <w:bookmarkEnd w:id="388"/>
      <w:r>
        <w:rPr>
          <w:rFonts w:hint="eastAsia" w:cs="宋体" w:asciiTheme="majorEastAsia" w:hAnsiTheme="majorEastAsia" w:eastAsiaTheme="majorEastAsia"/>
        </w:rPr>
        <w:t>经上海票据交易所审核后完成变更处理。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第二十九条上海票据交易所应根据系统提示的组织机构代码异常信息，通知相关单一前置机运行维护部门进行处理。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第三十条上海票据交易所应当根据相关要求，进行票据信息导出和补发操作。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第三十一条上海票据交易所和单一前置机运行维护部门应当加强系统用户管理，系统初始用户应在完成系统投产工作后及时注销。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第三十二条上海票据交易所和单一前置机运行维护部门应及时处理各待办业务事项，保证日终前当日待办业务全部处理完毕。</w:t>
      </w:r>
    </w:p>
    <w:p>
      <w:pPr>
        <w:spacing w:after="156" w:afterLines="50" w:line="360" w:lineRule="auto"/>
        <w:ind w:firstLine="480" w:firstLineChars="200"/>
        <w:outlineLvl w:val="0"/>
        <w:rPr>
          <w:rFonts w:cs="宋体" w:asciiTheme="majorEastAsia" w:hAnsiTheme="majorEastAsia" w:eastAsiaTheme="majorEastAsia"/>
        </w:rPr>
      </w:pPr>
      <w:bookmarkStart w:id="389" w:name="_Toc21010"/>
      <w:r>
        <w:rPr>
          <w:rFonts w:hint="eastAsia" w:cs="宋体" w:asciiTheme="majorEastAsia" w:hAnsiTheme="majorEastAsia" w:eastAsiaTheme="majorEastAsia"/>
        </w:rPr>
        <w:t>第四章　维护管理</w:t>
      </w:r>
      <w:bookmarkEnd w:id="389"/>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三条上海票据交易所和单一前置机的运行维护部门应当结合本单位（或本部门）实际，制定电子商业汇票系统维护管理制度和日常检查规程，按照规程完成日常检查和系统维护并记录维护日志，发现系统异常按规定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共用设备的维护管理应避免影响其他业务系统的正常运行。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第三十四条上海票据交易所根据中国人民银行的授权，对电子商业汇票系统应用软件版本进行统一管理。</w:t>
      </w:r>
    </w:p>
    <w:p>
      <w:pPr>
        <w:spacing w:after="156" w:afterLines="50" w:line="360" w:lineRule="auto"/>
        <w:ind w:firstLine="480" w:firstLineChars="200"/>
        <w:rPr>
          <w:rFonts w:cs="宋体" w:asciiTheme="majorEastAsia" w:hAnsiTheme="majorEastAsia" w:eastAsiaTheme="majorEastAsia"/>
        </w:rPr>
      </w:pPr>
      <w:bookmarkStart w:id="390" w:name="OLE_LINK15"/>
      <w:r>
        <w:rPr>
          <w:rFonts w:hint="eastAsia" w:cs="宋体" w:asciiTheme="majorEastAsia" w:hAnsiTheme="majorEastAsia" w:eastAsiaTheme="majorEastAsia"/>
        </w:rPr>
        <w:t>第三十五条上海票据交易所应制定维护电子商业汇票系统相关硬件</w:t>
      </w:r>
      <w:bookmarkEnd w:id="390"/>
      <w:r>
        <w:rPr>
          <w:rFonts w:hint="eastAsia" w:cs="宋体" w:asciiTheme="majorEastAsia" w:hAnsiTheme="majorEastAsia" w:eastAsiaTheme="majorEastAsia"/>
        </w:rPr>
        <w:t>和软件的管理制度，并严格组织执行。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第三十六条单一前置机运行维护部门实施下列电子商业汇票系统相关的运行维护工作，应事先报上海票据交易所同意：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（一）变更电子商业汇票系统相关的物理环境。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（二）变更电子商业汇票系统相关的接口软件。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七条单一前置机运行维护部门因系统维护或应急演练需要临时断开与电子商业汇票系统连接，且只能安排在系统运营时间，应提前10个工作日向上海票据交易所报备。单一前置机运行维护部门在非系统运营时间进行系统维护或应急演练，应提前5个工作日向上海票据交易所报备。报备材料包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（一）书面报告。报告内容应包括系统维护及应急演练原因、对自身和其他系统参与者造成的业务影响、工作安排以及需上海票据交易所配合事项等。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（二）《电子商业汇票系统参与者系统运行维护报告表》（见附）。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第三十八条上海票据交易所和单一前置机运行维护部门应当定期对计算机系统、网络系统进行系统备份和数据备份，并填写备份记录。</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第三十九条上海票据交易所和单一前置机运行维护部门请外单位人员对系统进行检查维护时，须经本部门负责人批准，由系统维护人员陪同进行，并作好检查维护记录。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第四十条上海票据交易所和单一前置机运行维护部门应当分别制定电子商业汇票系统应急预案并逐级报备，定期进行应急预案演练和备份系统测试，并作好记录备查。</w:t>
      </w:r>
    </w:p>
    <w:p>
      <w:pPr>
        <w:spacing w:after="156" w:afterLines="50" w:line="360" w:lineRule="auto"/>
        <w:ind w:firstLine="480" w:firstLineChars="200"/>
        <w:outlineLvl w:val="0"/>
        <w:rPr>
          <w:rFonts w:cs="宋体" w:asciiTheme="majorEastAsia" w:hAnsiTheme="majorEastAsia" w:eastAsiaTheme="majorEastAsia"/>
        </w:rPr>
      </w:pPr>
      <w:bookmarkStart w:id="391" w:name="_Toc28498"/>
      <w:r>
        <w:rPr>
          <w:rFonts w:hint="eastAsia" w:cs="宋体" w:asciiTheme="majorEastAsia" w:hAnsiTheme="majorEastAsia" w:eastAsiaTheme="majorEastAsia"/>
        </w:rPr>
        <w:t>第五章　安全管理</w:t>
      </w:r>
      <w:bookmarkEnd w:id="391"/>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第四十一条为保证业务及证书的安全性，电子商业汇票系统所有用户应当严格权限管理，相关操作应当遵循“双签制”原则。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第四十二条操作人员接到用户标识后，应当立即登录系统，修改用户口令，用户口令仅限本人使用，不得外泄；操作人员禁止使用未经修改的口令进行业务操作。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一个用户标识只能分配给一个操作人员，一个操作人员只能拥有唯一的用户标识。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用户口令应当具有一定的复杂性，至少每个季度更换一次。操作人员遗忘口令时，应当立即报告主管负责人，经主管负责人审批后，由系统管理员重新设定，并做好记录备查。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第四十三条操作人员应当在规定权限内操作，禁止进行与业务无关的操作；操作人员离开操作岗位时，应当退出登录。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第四十四条电子商业汇票系统采用基于公钥基础设施(PKI)的电子签名保证业务数据的完整性和不可抵赖性。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第四十五条上海票据交易所委托专业、合法数字证书认证管理机构负责数字证书的统一管理。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第四十六条国家处理中心RA管理员的证书由数字证书认证管理机构负责生成，本人负责保管。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上海票据交易所负责创建电子商业汇票系统RA管理员和RA操作员，并为电子商业汇票系统参与者提供证书换发等服务。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第四十七条电子商业汇票系统参与者用户证书的申请、补发、换发、撤销和冻结等管理操作，由上海票据交易所负责。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八条电子商业汇票系统参与者必须妥善保管包含私钥的最终用户证书以及私钥保护密码。如发现包括私钥的最终用户证书文件、USBKey丢失或被非法复制，以及私钥保护密码丢失，应当及时报告上海票据交易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第四十九条电子商业汇票系统在与支付系统以外的其他系统连接时，应依照中国人民银行有关规定，采取必要的技术隔离保护措施。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第五十条电子商业汇票系统病毒防范处理应当符合中国人民银行的规定，在系统内安装病毒处理程序并及时升级；对外来数据应当进行病毒检测；定期查毒，发现病毒立即处理，并逐级报备。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第五十一条禁止在生产设备和备份系统上进行开发和培训，以及使用非系统专用的存储介质。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第五十二条禁止任何单位和个人泄漏计算机系统和网络系统的参数、配置信息、汇票业务信息和账户信息。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系统设备因故障需外送维修时，应当进行必要的备份，并对数据进行专业的清除处理。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三条上海票据交易所和单一前置机运行维护部门在特殊情况下，需要对后台业务数据进行变更操作时，须经本单位业务主管同意、本单位负责人批准，由2名以上系统维护员共同实施，并详细记录；事后由业务主管及时核对业务数据，并向本单位负责人和上级主管部门报告。</w:t>
      </w:r>
    </w:p>
    <w:p>
      <w:pPr>
        <w:spacing w:after="156" w:afterLines="50" w:line="360" w:lineRule="auto"/>
        <w:ind w:firstLine="480" w:firstLineChars="200"/>
        <w:outlineLvl w:val="0"/>
        <w:rPr>
          <w:rFonts w:cs="宋体" w:asciiTheme="majorEastAsia" w:hAnsiTheme="majorEastAsia" w:eastAsiaTheme="majorEastAsia"/>
        </w:rPr>
      </w:pPr>
      <w:bookmarkStart w:id="392" w:name="_Toc32445"/>
      <w:r>
        <w:rPr>
          <w:rFonts w:hint="eastAsia" w:cs="宋体" w:asciiTheme="majorEastAsia" w:hAnsiTheme="majorEastAsia" w:eastAsiaTheme="majorEastAsia"/>
        </w:rPr>
        <w:t>第六章　机房管理</w:t>
      </w:r>
      <w:bookmarkEnd w:id="39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第五十四条上海票据交易所的电子商业汇票系统机房应当符合国家建设标准和中国人民银行有关机房的管理规定。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单一前置机运行维护部门的机房应当符合国家建设标准和本单位（或本部门）有关机房的管理规定。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第五十五条电子商业汇票系统机房管理部门应当制定机房管理、门禁系统管理和进出审批登记等相关制度，运行维护部门应当遵照执行。</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第五十六条上海票据交易所和单一前置机的运行维护部门应保持机房的清洁、整齐、有序，禁止将易燃、易爆、易腐蚀等危险品和与运行无关的物品带入机房；禁止在机房内使用明火或可能影响运行的设备。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第五十七条 上海票据交易所和单一前置机的运行维护部门应保持机房电源和接地线齐全，UPS负荷配置合理，系统主设备和网络设备电源以及电源开关标有明显禁止操作的告警标识或保护措施。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第五十八条 外来计算机存储介质，未经许可，不得在电子商业汇票系统机房内使用。外来计算机、电子设备，未经许可，不得使用机房设备的电源。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第五十九条 电子商业汇票系统机房所在区域应安装24小时视频监控录像装置，重要机房区域实行24小时警卫值班。门禁系统、视频监控设备运行资料应妥善保存，保存期限不少于90天。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第六十条 电子商业汇票系统机房实行封闭式管理，应设置一个主出入口和一个或多个备用出入口。</w:t>
      </w:r>
    </w:p>
    <w:p>
      <w:pPr>
        <w:spacing w:after="156" w:afterLines="50" w:line="360" w:lineRule="auto"/>
        <w:ind w:firstLine="480" w:firstLineChars="200"/>
        <w:outlineLvl w:val="0"/>
        <w:rPr>
          <w:rFonts w:cs="宋体" w:asciiTheme="majorEastAsia" w:hAnsiTheme="majorEastAsia" w:eastAsiaTheme="majorEastAsia"/>
        </w:rPr>
      </w:pPr>
      <w:bookmarkStart w:id="393" w:name="_Toc3116"/>
      <w:r>
        <w:rPr>
          <w:rFonts w:hint="eastAsia" w:cs="宋体" w:asciiTheme="majorEastAsia" w:hAnsiTheme="majorEastAsia" w:eastAsiaTheme="majorEastAsia"/>
        </w:rPr>
        <w:t>第七章　设备管理</w:t>
      </w:r>
      <w:bookmarkEnd w:id="39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一条电子商业汇票系统设备包括计算机设备、网络设备、安全设备和场地设备等。上海票据交易所和单一前置机运行维护部门应对电子商业汇票系统设备实行专人管理，建立档案，并定期检查，账实相符，禁止挪作他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第六十二条 电子商业汇票系统设备应符合国家和中国人民银行相关技术规范及安全要求。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第六十三条电子商业汇票系统设备应当按照国家和中国人民银行制定的技术规范定期进行检查维护，并做好记录，确保生产设备稳定运行，且备份设备处于可用状态。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第六十四条 上海票据交易所和单一前置机运行维护部门应对电子商业汇票系统设备采取必要的安全保护措施，制定完善的访问控制策略，防止未经授权使用设备或信息。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第六十五条电子商业汇票系统机房应配备适量的传真机和程控电话，以满足系统运行需要。</w:t>
      </w:r>
    </w:p>
    <w:p>
      <w:pPr>
        <w:spacing w:after="156" w:afterLines="50" w:line="360" w:lineRule="auto"/>
        <w:ind w:firstLine="480" w:firstLineChars="200"/>
        <w:outlineLvl w:val="0"/>
        <w:rPr>
          <w:rFonts w:cs="宋体" w:asciiTheme="majorEastAsia" w:hAnsiTheme="majorEastAsia" w:eastAsiaTheme="majorEastAsia"/>
        </w:rPr>
      </w:pPr>
      <w:bookmarkStart w:id="394" w:name="_Toc7486"/>
      <w:r>
        <w:rPr>
          <w:rFonts w:hint="eastAsia" w:cs="宋体" w:asciiTheme="majorEastAsia" w:hAnsiTheme="majorEastAsia" w:eastAsiaTheme="majorEastAsia"/>
        </w:rPr>
        <w:t>第八章　文档管理</w:t>
      </w:r>
      <w:bookmarkEnd w:id="39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第六十六条电子商业汇票系统运行文档包括技术资料、操作手册、运行维护手册，以及系统运行过程中产生的各种纸质信息和存储介质信息等。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第六十七条上海票据交易所和单一前置机运行维护部门应指定专人负责文档的入库保管，建立文档登记簿，保管人员调动时，须办理有关资料的交接手续。</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第六十八条上海票据交易所和单一前置机运行维护部门对电子商业汇票系统运行文档须妥善保管，并做到防火、防盗、防磁、防潮和防蛀。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第六十九条上海票据交易所和单一前置机运行维护部门对存储介质形式的文档，应当定期检查、定期备份，防止因存储介质损坏而丢失资料。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第七十条上海票据交易所和单一前置机运行维护部门要严格执行文档查阅、借用登记制度，禁止私自或越权复制和外借电子商业汇票系统运行文档。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第七十一条电子商业汇票系统运行文档应当比照同类会计档案确定保存期限。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第七十二条废弃或过期的电子商业汇票系统运行文档应当比照会计档案管理办法进行销毁处理。</w:t>
      </w:r>
    </w:p>
    <w:p>
      <w:pPr>
        <w:spacing w:after="156" w:afterLines="50" w:line="360" w:lineRule="auto"/>
        <w:ind w:firstLine="480" w:firstLineChars="200"/>
        <w:outlineLvl w:val="0"/>
        <w:rPr>
          <w:rFonts w:cs="宋体" w:asciiTheme="majorEastAsia" w:hAnsiTheme="majorEastAsia" w:eastAsiaTheme="majorEastAsia"/>
        </w:rPr>
      </w:pPr>
      <w:bookmarkStart w:id="395" w:name="_Toc14492"/>
      <w:r>
        <w:rPr>
          <w:rFonts w:hint="eastAsia" w:cs="宋体" w:asciiTheme="majorEastAsia" w:hAnsiTheme="majorEastAsia" w:eastAsiaTheme="majorEastAsia"/>
        </w:rPr>
        <w:t>第九章　故障管理</w:t>
      </w:r>
      <w:bookmarkEnd w:id="39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第七十三条电子商业汇票系统国家处理中心、城市处理中心和单一前置机发生技术故障时，其运行维护部门应当遵循“及时报告、及时处理、尽快恢复运行”的原则进行处置。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第七十四条单一前置机发生技术故障时，其运行维护部门应向上海票据交易所报告。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第七十五条国家处理中心、城市处理中心发生技术故障时，上海票据交易所应根据故障影响情况及时通知相关系统参与者，并向中国人民银行报告。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第七十六条电子商业汇票系统发生技术故障时，报告的内容应真实、准确，不得瞒报、漏报。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第七十七条电子商业汇票系统故障分为常规故障和非常规故障：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（一）常规故障为故障现象和其排除方法在现有电子商业汇票系统运行文档中有明确描述的故障。</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（二）非常规故障为故障现象和其排除方法在现有电子商业汇票系统运行文档中没有描述的故障。</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第七十八条电子商业汇票系统国家处理中心、城市处理中心、单一前置机发生系统常规故障时，应由其系统维护人员按照故障处理规定和排除方法进行处理。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九条电子商业汇票系统国家处理中心、城市处理中心、单一前置机发生系统非常规故障时，其操作人员应立即记录或复制设备提示信息，将故障现象报上一级岗位人员，同时交由系统维护人员对故障进行排除；短时间不能排除的，应向有关单位和部门请求技术支持或按规定启动应急预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十条参与故障处理的技术人员，未经本单位（或本部门）负责人批准，不得查询、调用、修改和复制业务数据。排除故障需要外部技术支持，或非本单位（或非本部门）人员排除故障时需要在生产系统上进行操作的，应经本单位（或本部门）负责人书面批准，由系统维护人员陪同并配合，同时作好记录备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第八十一条电子商业汇票系统发生故障时，上海票据交易所和单一前置机运行维护部门应相互配合，排除故障，必要时应当组织外部资源提供远程或现场技术支持。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故障排除后，上海票据交易所和单一前置机运行维护部门应记录故障时间、故障现象、故障处理、分析结果以及专家咨询意见（有必要时），对重大技术故障应编写故障处理和分析报告。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第八十二条电子商业汇票系统故障和处理情况的披露应符合国家有关规定。未经批准，任何单位和个人不得擅自披露电子商业汇票系统故障信息。</w:t>
      </w:r>
    </w:p>
    <w:p>
      <w:pPr>
        <w:spacing w:after="156" w:afterLines="50" w:line="360" w:lineRule="auto"/>
        <w:ind w:firstLine="480" w:firstLineChars="200"/>
        <w:outlineLvl w:val="0"/>
        <w:rPr>
          <w:rFonts w:cs="宋体" w:asciiTheme="majorEastAsia" w:hAnsiTheme="majorEastAsia" w:eastAsiaTheme="majorEastAsia"/>
        </w:rPr>
      </w:pPr>
      <w:bookmarkStart w:id="396" w:name="_Toc19128"/>
      <w:r>
        <w:rPr>
          <w:rFonts w:hint="eastAsia" w:cs="宋体" w:asciiTheme="majorEastAsia" w:hAnsiTheme="majorEastAsia" w:eastAsiaTheme="majorEastAsia"/>
        </w:rPr>
        <w:t>第十章　纪律与责任</w:t>
      </w:r>
      <w:bookmarkEnd w:id="39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第八十三条电子商业汇票系统运行维护部门应当遵守本办法以及其他相关规定，加强内部控制管理，建立健全应急处理机制，保证系统安全稳定运行和业务正常处理。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十四条电子商业汇票系统运行维护部门擅自修改电子商业汇票系统基础数据，未造成资金损失的，应当追究有关责任人的行政责任；造成资金损失的，有关责任方依法承担民事责任；涉嫌犯罪的，移送司法机关依法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第八十五条电子商业汇票系统运行维护部门未做好信息安全防范措施，影响电子商业汇票系统安全、稳定运行的，应当追究有关当事人责任。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十六条电子商业汇票系统运行维护部门工作人员玩忽职守，或出现重大失误，造成资金损失的，按规定承担行政责任；伪造、篡改业务基础数据挪用票据、盗用资金的，按规定承担行政责任和民事责任，涉嫌犯罪的，移送司法机关依法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第八十七条电子商业汇票系统运行维护部门工作人员应履行保密职责，不得擅自查询、对外泄露相关信息。违反规定的，承担相应的行政责任；情节严重、涉嫌犯罪的，移送司法机关依法处理。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第八十八条电子商业汇票系统参与者发生下列情形的，上海票据交易所按有关规定进行通报处理，情节严重的，可强制其退出电子商业汇票系统，并报告中国人民银行：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（一）业务运行期间，未经上海票据交易所同意擅自退出系统登录。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（二）未经上海票据交易所同意，擅自变更电子商业汇票系统相关物理环境或接口软件。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（三）进行系统维护或应急演练未向上海票据交易所报备或未按规定时间报备。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（四）擅自对行名行号进行增加、更改或删除。</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（五）在电子商业汇票生产或备份系统上进行开发、测试或者培训。</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（六）单一前置机发生故障时，未及时向上海票据交易所报告或者报告的内容不真实、不准确，存在瞒报、漏报等情况。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（七）系统参与者退出电子商业汇票系统未按规定建立业务承接关系。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（八）其他违反电子商业汇票系统运行管理规定的情形。</w:t>
      </w:r>
    </w:p>
    <w:p>
      <w:pPr>
        <w:spacing w:after="156" w:afterLines="50" w:line="360" w:lineRule="auto"/>
        <w:ind w:firstLine="480" w:firstLineChars="200"/>
        <w:outlineLvl w:val="0"/>
        <w:rPr>
          <w:rFonts w:cs="宋体" w:asciiTheme="majorEastAsia" w:hAnsiTheme="majorEastAsia" w:eastAsiaTheme="majorEastAsia"/>
        </w:rPr>
      </w:pPr>
      <w:bookmarkStart w:id="397" w:name="_Toc14321"/>
      <w:r>
        <w:rPr>
          <w:rFonts w:hint="eastAsia" w:cs="宋体" w:asciiTheme="majorEastAsia" w:hAnsiTheme="majorEastAsia" w:eastAsiaTheme="majorEastAsia"/>
        </w:rPr>
        <w:t>第十一章　附则</w:t>
      </w:r>
      <w:bookmarkEnd w:id="39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第八十九条本办法由中国人民银行负责解释和修订。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第九十条本办法自印发之日起施行。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附件3</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电子商业汇票系统数字证书管理办法</w:t>
      </w:r>
    </w:p>
    <w:p>
      <w:pPr>
        <w:spacing w:after="156" w:afterLines="50" w:line="360" w:lineRule="auto"/>
        <w:ind w:firstLine="480" w:firstLineChars="200"/>
        <w:outlineLvl w:val="0"/>
        <w:rPr>
          <w:rFonts w:cs="宋体" w:asciiTheme="majorEastAsia" w:hAnsiTheme="majorEastAsia" w:eastAsiaTheme="majorEastAsia"/>
        </w:rPr>
      </w:pPr>
      <w:bookmarkStart w:id="398" w:name="_Toc21773"/>
      <w:r>
        <w:rPr>
          <w:rFonts w:hint="eastAsia" w:cs="宋体" w:asciiTheme="majorEastAsia" w:hAnsiTheme="majorEastAsia" w:eastAsiaTheme="majorEastAsia"/>
        </w:rPr>
        <w:t>第一章总则</w:t>
      </w:r>
      <w:bookmarkEnd w:id="398"/>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第一条为规范电子商业汇票系统数字证书管理，保障数据传输安全，依据《电子商业汇票业务管理办法》（中国人民银行令〔2009〕2号发布）等规定，制定本办法。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为实现电子商业汇票的电子签名以及数据传输和交换过程中的不可抵赖性和完整性，保障系统交易安全，电子商业汇票系统以及电子商业汇票系统系统参与者之间采用公钥基础设施（PublicKeyInfrastructure）机制，使用第三方认证机构——中国金融认证中心有限公司（ChinaFinancialCertificationAuthority，以下简称CFCA）发放的数字证书提供安全认证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电子商业汇票系统系统参与者与客户之间所使用数字证书的管理不适用本办法。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第三条数字证书由上海票据交易所股份有限公司（以下简称上海票据交易所）负责建立注册中心（RegistrationAuthority，以下简称RA）。RA与CFCA专线连接。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w:t>
      </w:r>
      <w:bookmarkStart w:id="399" w:name="OLE_LINK19"/>
      <w:r>
        <w:rPr>
          <w:rFonts w:hint="eastAsia" w:cs="宋体" w:asciiTheme="majorEastAsia" w:hAnsiTheme="majorEastAsia" w:eastAsiaTheme="majorEastAsia"/>
        </w:rPr>
        <w:t>RA是CFCA授权的证书注册审核机构，延伸了CFCA证书发放、管理的范围，</w:t>
      </w:r>
      <w:bookmarkEnd w:id="399"/>
      <w:r>
        <w:rPr>
          <w:rFonts w:hint="eastAsia" w:cs="宋体" w:asciiTheme="majorEastAsia" w:hAnsiTheme="majorEastAsia" w:eastAsiaTheme="majorEastAsia"/>
        </w:rPr>
        <w:t>负责对证书申请者的证书管理。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第五条证书管理操作内容包括证书申请、发放、撤销、补发、换发、冻结和解冻等操作。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第六条RA受理业务的时间与国家法定工作时间一致。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第七条RA设置管理员、录入操作员、审核操作员岗位。电子商业汇票系统的系统参与者按照机构设置证书管理员岗。</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第八条RA的证书管理岗位人员及电子商业汇票系统的系统参与者均需要申报一张数字证书。RA实行“一人一证”，隶属于同一法人的电子商业汇票系统的系统参与者可共用数字证书。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第九条RA的管理员、录入操作员、审核操作员的数字证书存放在USBKey中，电子商业汇票系统的系统参与者的数字证书存放在证书文件或者USBKey中。</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第十条电子商业汇票系统的系统参与者进行电子商业汇票业务处理时，应使用自身的数字证书进行数字签名。电子商业汇票系统各级节点在接收到业务时，应进行核签，核签不通过的，按相关规定处理。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第十一条数字证书有效期为3年，数字证书颁发或换发时收取3年的证书服务费。</w:t>
      </w:r>
    </w:p>
    <w:p>
      <w:pPr>
        <w:spacing w:after="156" w:afterLines="50" w:line="360" w:lineRule="auto"/>
        <w:ind w:firstLine="480" w:firstLineChars="200"/>
        <w:outlineLvl w:val="0"/>
        <w:rPr>
          <w:rFonts w:cs="宋体" w:asciiTheme="majorEastAsia" w:hAnsiTheme="majorEastAsia" w:eastAsiaTheme="majorEastAsia"/>
        </w:rPr>
      </w:pPr>
      <w:bookmarkStart w:id="400" w:name="_Toc8462"/>
      <w:r>
        <w:rPr>
          <w:rFonts w:hint="eastAsia" w:cs="宋体" w:asciiTheme="majorEastAsia" w:hAnsiTheme="majorEastAsia" w:eastAsiaTheme="majorEastAsia"/>
        </w:rPr>
        <w:t>第二章岗位职责</w:t>
      </w:r>
      <w:bookmarkEnd w:id="40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第十二条RA管理员职责：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（一）收集并保存RA录入操作员、RA审核操作员的证书申请表；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（二）发放、管理RA录入操作员和RA审核操作员的证书，生成参考号和授权码（以下简称“两码”），将两码通过特定方式交予RA录入操作员和RA审核操作员，并进行登记管理；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（三）管理RA录入操作员和RA审核操作员的操作权限。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第十三条RA录入操作员职责：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（一）录入经审核的电子商业汇票系统的系统参与者的证书申请；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（二）录入经审核的电子商业汇票系统的系统参与者证书管理操作的申请。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第十四条RA审核操作员职责：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（一）收集并保存经审核的电子商业汇票系统的系统参与者的证书申请表和批量录入文件；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（二）审核电子商业汇票系统的系统参与者的证书申请和证书管理操作申请，生成两码并通过特定方式交予电子商业汇票系统系统参与者证书管理员，并进行登记管理；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（三）查询和统计所有电子商业汇票系统的系统参与者的证书信息；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（四）监控所有电子商业汇票系统的系统参与者的证书管理操作。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w:t>
      </w:r>
      <w:r>
        <w:rPr>
          <w:rFonts w:hint="eastAsia" w:cs="宋体" w:asciiTheme="majorEastAsia" w:hAnsiTheme="majorEastAsia" w:eastAsiaTheme="majorEastAsia"/>
        </w:rPr>
        <w:tab/>
      </w:r>
      <w:r>
        <w:rPr>
          <w:rFonts w:hint="eastAsia" w:cs="宋体" w:asciiTheme="majorEastAsia" w:hAnsiTheme="majorEastAsia" w:eastAsiaTheme="majorEastAsia"/>
        </w:rPr>
        <w:t>电子商业汇票系统的系统参与者证书管理员职责：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向法人提交本机构的《电子商业汇票系统系统参与者证书申请表》（附1）、《电子商业汇票系统系统参与者批量录入文件（Excel格式）》（附2）和《电子商业汇票系统系统参与者证书管理表》（附3），由法人向上海票据交易所提交申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（二）从法人处领取由上海票据交易所发放的本机构两码；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（三）登陆CFCA网站，输入两码，设置数字证书密码，下载本机构的数字证书文件；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（四）保管数字证书文件，安装与使用数字证书；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（五）定期修改数字证书密码。</w:t>
      </w:r>
    </w:p>
    <w:p>
      <w:pPr>
        <w:spacing w:after="156" w:afterLines="50" w:line="360" w:lineRule="auto"/>
        <w:ind w:firstLine="480" w:firstLineChars="200"/>
        <w:outlineLvl w:val="0"/>
        <w:rPr>
          <w:rFonts w:cs="宋体" w:asciiTheme="majorEastAsia" w:hAnsiTheme="majorEastAsia" w:eastAsiaTheme="majorEastAsia"/>
        </w:rPr>
      </w:pPr>
      <w:bookmarkStart w:id="401" w:name="_Toc7675"/>
      <w:r>
        <w:rPr>
          <w:rFonts w:hint="eastAsia" w:cs="宋体" w:asciiTheme="majorEastAsia" w:hAnsiTheme="majorEastAsia" w:eastAsiaTheme="majorEastAsia"/>
        </w:rPr>
        <w:t>第三章证书管理</w:t>
      </w:r>
      <w:bookmarkEnd w:id="401"/>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第十六条电子商业汇票系统的系统参与者证书发放流程：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电子商业汇票系统的系统参与者填写《电子商业汇票系统系统参与者证书申请表》，交由法人盖章，同时填写《电子商业汇票系统系统参与者批量录入文件（Excel格式）》，以法人为单位提交上海票据交易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上海票据交易所对《电子商业汇票系统系统参与者证书申请表》、Excel汇总电子数据文件审核确认后，由RA录入操作员录入电子商业汇票系统的系统参与者证书申请信息。录入时可以批量导入Excel汇总电子数据文件，也可以直接录入《电子商业汇票系统系统参与者证书申请表》信息。</w:t>
      </w:r>
    </w:p>
    <w:p>
      <w:pPr>
        <w:spacing w:after="156" w:afterLines="50" w:line="360" w:lineRule="auto"/>
        <w:ind w:firstLine="480" w:firstLineChars="200"/>
        <w:rPr>
          <w:rFonts w:cs="宋体" w:asciiTheme="majorEastAsia" w:hAnsiTheme="majorEastAsia" w:eastAsiaTheme="majorEastAsia"/>
        </w:rPr>
      </w:pPr>
      <w:bookmarkStart w:id="402" w:name="OLE_LINK22"/>
      <w:r>
        <w:rPr>
          <w:rFonts w:hint="eastAsia" w:cs="宋体" w:asciiTheme="majorEastAsia" w:hAnsiTheme="majorEastAsia" w:eastAsiaTheme="majorEastAsia"/>
        </w:rPr>
        <w:t>（三）RA审核操作员对录入的信息进行审核。审核通过的，RA审核操作员生成两码。</w:t>
      </w:r>
    </w:p>
    <w:bookmarkEnd w:id="402"/>
    <w:p>
      <w:pPr>
        <w:spacing w:after="156" w:afterLines="50" w:line="360" w:lineRule="auto"/>
        <w:ind w:firstLine="480" w:firstLineChars="200"/>
        <w:rPr>
          <w:rFonts w:cs="宋体" w:asciiTheme="majorEastAsia" w:hAnsiTheme="majorEastAsia" w:eastAsiaTheme="majorEastAsia"/>
        </w:rPr>
      </w:pPr>
      <w:bookmarkStart w:id="403" w:name="OLE_LINK23"/>
      <w:r>
        <w:rPr>
          <w:rFonts w:hint="eastAsia" w:cs="宋体" w:asciiTheme="majorEastAsia" w:hAnsiTheme="majorEastAsia" w:eastAsiaTheme="majorEastAsia"/>
        </w:rPr>
        <w:t>（四）RA审核操作员将两码通过特定方式交予电子商业汇票系统的系统参与者所属法人。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（五）电子商业汇票系统的系统参与者证书管理员从法人处领取两码后，登陆CFCA网站，输入两码，设置数字证书的密码，下载数字证书文件。</w:t>
      </w:r>
    </w:p>
    <w:bookmarkEnd w:id="403"/>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第十七条电子商业汇票系统的系统参与者退出电子商业汇票系统、发生私钥泄露、证书文件丢失的，可以申请证书撤销。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电子商业汇票系统的系统参与者证书撤销流程: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（一）电子商业汇票系统的系统参与者证书管理员填写《电子商业汇票系统系统参与者证书管理表》，由法人盖章后，提交上海票据交易所；</w:t>
      </w:r>
    </w:p>
    <w:p>
      <w:pPr>
        <w:spacing w:after="156" w:afterLines="50" w:line="360" w:lineRule="auto"/>
        <w:ind w:firstLine="480" w:firstLineChars="200"/>
        <w:rPr>
          <w:rFonts w:cs="宋体" w:asciiTheme="majorEastAsia" w:hAnsiTheme="majorEastAsia" w:eastAsiaTheme="majorEastAsia"/>
        </w:rPr>
      </w:pPr>
      <w:bookmarkStart w:id="404" w:name="OLE_LINK24"/>
      <w:r>
        <w:rPr>
          <w:rFonts w:hint="eastAsia" w:cs="宋体" w:asciiTheme="majorEastAsia" w:hAnsiTheme="majorEastAsia" w:eastAsiaTheme="majorEastAsia"/>
        </w:rPr>
        <w:t>（二）RA录入操作员录入电子商业汇票系统系统参与者的证书撤销申请信息，RA审核操作员对录入的信息进行审核。审核通过的，RA审核操作员撤销证书。</w:t>
      </w:r>
    </w:p>
    <w:bookmarkEnd w:id="404"/>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第十八条发生证书密码遗忘、私钥泄漏、证书文件丢失或损坏等情况下，可以申请证书补发，证书补发后有效期不变，补发成功后原有证书自动撤销。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电子商业汇票系统的系统参与者证书补发流程：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（一）电子商业汇票系统系统参与者证书管理员填写《电子商业汇票系统系统参与者证书管理表》，由法人盖章后，提交上海票据交易所；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（二）RA录入操作员录入电子商业汇票系统系统参与者的证书补发申请信息，RA审核操作员对录入的信息进行审核，审核通过的，生成两码；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（三）RA审核操作员将两码通过特定方式交予电子商业汇票系统系统参与者所属法人；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（四）电子商业汇票系统的系统参与者证书管理员从法人处领取两码后，登陆CFCA网站，输入两码，设置数字证书的密码，下载新的数字证书文件。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第十九条证书即将到期或者已经过期的，须申请证书换发，换发成功后原有证书自动撤销。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电子商业汇票系统的系统参与者证书换发流程：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（一）电子商业汇票系统系统参与者证书管理员填写《电子商业汇票系统系统参与者证书管理表》，由法人盖章后，提交上海票据交易所；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（二）RA录入操作员录入电子商业汇票系统系统参与者的证书换发申请信息。RA审核操作员对录入的信息进行审核，审核通过的，生成两码；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（三）RA审核操作员将两码通过特定方式交予电子商业汇票系统系统参与者所属法人；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（四）电子商业汇票系统系统参与者证书管理员从法人处领取两码后，登陆CFCA网站，输入两码，设置数字证书的密码，下载新的数字证书文件。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第二十条发现证书处于非正常使用状态的，可以进行证书冻结。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电子商业汇票系统的系统参与者证书冻结流程：</w:t>
      </w:r>
      <w:bookmarkStart w:id="405" w:name="OLE_LINK26"/>
    </w:p>
    <w:bookmarkEnd w:id="405"/>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（一）填写《电子商业汇票系统系统参与者证书管理表》，由法人盖章后，提交上海票据交易所；</w:t>
      </w:r>
    </w:p>
    <w:p>
      <w:pPr>
        <w:spacing w:after="156" w:afterLines="50" w:line="360" w:lineRule="auto"/>
        <w:ind w:firstLine="480" w:firstLineChars="200"/>
        <w:rPr>
          <w:rFonts w:cs="宋体" w:asciiTheme="majorEastAsia" w:hAnsiTheme="majorEastAsia" w:eastAsiaTheme="majorEastAsia"/>
        </w:rPr>
      </w:pPr>
      <w:bookmarkStart w:id="406" w:name="OLE_LINK25"/>
      <w:r>
        <w:rPr>
          <w:rFonts w:hint="eastAsia" w:cs="宋体" w:asciiTheme="majorEastAsia" w:hAnsiTheme="majorEastAsia" w:eastAsiaTheme="majorEastAsia"/>
        </w:rPr>
        <w:t>（二）RA录入操作员录入电子商业汇票系统系统参与者的证书冻结申请信息。RA审核操作员对录入的信息进行审核，审核通过的，进行冻结操作。</w:t>
      </w:r>
    </w:p>
    <w:bookmarkEnd w:id="406"/>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第二十一条被冻结的证书符合重新使用条件的，可以申请证书解冻。</w:t>
      </w:r>
    </w:p>
    <w:p>
      <w:pPr>
        <w:spacing w:after="156" w:afterLines="50" w:line="360" w:lineRule="auto"/>
        <w:ind w:firstLine="480" w:firstLineChars="200"/>
        <w:outlineLvl w:val="0"/>
        <w:rPr>
          <w:rFonts w:cs="宋体" w:asciiTheme="majorEastAsia" w:hAnsiTheme="majorEastAsia" w:eastAsiaTheme="majorEastAsia"/>
        </w:rPr>
      </w:pPr>
      <w:bookmarkStart w:id="407" w:name="_Toc25498"/>
      <w:r>
        <w:rPr>
          <w:rFonts w:hint="eastAsia" w:cs="宋体" w:asciiTheme="majorEastAsia" w:hAnsiTheme="majorEastAsia" w:eastAsiaTheme="majorEastAsia"/>
        </w:rPr>
        <w:t>电子商业汇票系统的系统参与者证书解冻流程：</w:t>
      </w:r>
      <w:bookmarkEnd w:id="40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（一）电子商业汇票系统系统参与者证书管理员填写《电子商业汇票系统系统参与者证书管理表》，由法人盖章后，提交上海票据交易所；</w:t>
      </w:r>
    </w:p>
    <w:p>
      <w:pPr>
        <w:spacing w:after="156" w:afterLines="50" w:line="360" w:lineRule="auto"/>
        <w:ind w:firstLine="480" w:firstLineChars="200"/>
        <w:rPr>
          <w:rFonts w:cs="宋体" w:asciiTheme="majorEastAsia" w:hAnsiTheme="majorEastAsia" w:eastAsiaTheme="majorEastAsia"/>
        </w:rPr>
      </w:pPr>
      <w:bookmarkStart w:id="408" w:name="OLE_LINK27"/>
      <w:r>
        <w:rPr>
          <w:rFonts w:hint="eastAsia" w:cs="宋体" w:asciiTheme="majorEastAsia" w:hAnsiTheme="majorEastAsia" w:eastAsiaTheme="majorEastAsia"/>
        </w:rPr>
        <w:t>（二）RA录入操作员录入电子商业汇票系统系统参与者的证书解冻申请信息。RA审核操作员对录入的信息进行审核，审核通过的，进行解冻操作。</w:t>
      </w:r>
    </w:p>
    <w:bookmarkEnd w:id="408"/>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第二十二条证书使用者应妥善保管USBKey或证书文件，不得转借他人。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第二十三条RA管理员、RA录入操作员、RA审核操作员应妥善保管证书保护密码，不得泄漏。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第二十四条电子商业汇票系统的系统参与者证书管理员必须设置较为复杂的证书密码，密码位数至少12位，应含有数字、大小写字母和特殊字符，并定期更换证书密码，不得泄漏。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第二十五条电子商业汇票系统的系统参与者数字证书密钥泄漏、数字证书文件损坏或者丢失时，应立即报告上海票据交易所，</w:t>
      </w:r>
      <w:bookmarkStart w:id="409" w:name="OLE_LINK28"/>
      <w:r>
        <w:rPr>
          <w:rFonts w:hint="eastAsia" w:cs="宋体" w:asciiTheme="majorEastAsia" w:hAnsiTheme="majorEastAsia" w:eastAsiaTheme="majorEastAsia"/>
        </w:rPr>
        <w:t>并按证书管理流程申请撤销或补发。</w:t>
      </w:r>
    </w:p>
    <w:bookmarkEnd w:id="409"/>
    <w:p>
      <w:pPr>
        <w:spacing w:after="156" w:afterLines="50" w:line="360" w:lineRule="auto"/>
        <w:ind w:firstLine="480" w:firstLineChars="200"/>
        <w:outlineLvl w:val="0"/>
        <w:rPr>
          <w:rFonts w:cs="宋体" w:asciiTheme="majorEastAsia" w:hAnsiTheme="majorEastAsia" w:eastAsiaTheme="majorEastAsia"/>
        </w:rPr>
      </w:pPr>
      <w:bookmarkStart w:id="410" w:name="_Toc32762"/>
      <w:r>
        <w:rPr>
          <w:rFonts w:hint="eastAsia" w:cs="宋体" w:asciiTheme="majorEastAsia" w:hAnsiTheme="majorEastAsia" w:eastAsiaTheme="majorEastAsia"/>
        </w:rPr>
        <w:t>第四章附则</w:t>
      </w:r>
      <w:bookmarkEnd w:id="41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第二十六条本办法由中国人民银行负责解释和修订。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第二十七条本办法自印发之日起施行。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附：1.电子商业汇票系统系统参与者证书申请表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2.电子商业汇票系统系统参与者批量录入文件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3.电子商业汇票系统系统参与者证书管理表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附件4</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电子商业汇票系统危机处置预案</w:t>
      </w:r>
      <w:bookmarkStart w:id="411" w:name="_Toc211780177"/>
      <w:bookmarkStart w:id="412" w:name="_Toc64999901"/>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1总则</w:t>
      </w:r>
      <w:bookmarkEnd w:id="411"/>
      <w:bookmarkStart w:id="413" w:name="_Toc211780178"/>
      <w:bookmarkStart w:id="414" w:name="_Toc137"/>
      <w:bookmarkStart w:id="415" w:name="_Toc4933"/>
    </w:p>
    <w:p>
      <w:pPr>
        <w:spacing w:after="156" w:afterLines="50" w:line="360" w:lineRule="auto"/>
        <w:ind w:firstLine="480" w:firstLineChars="200"/>
        <w:rPr>
          <w:rFonts w:cs="宋体" w:asciiTheme="majorEastAsia" w:hAnsiTheme="majorEastAsia" w:eastAsiaTheme="majorEastAsia"/>
        </w:rPr>
      </w:pPr>
      <w:bookmarkStart w:id="416" w:name="_Toc3560"/>
      <w:r>
        <w:rPr>
          <w:rFonts w:hint="eastAsia" w:cs="宋体" w:asciiTheme="majorEastAsia" w:hAnsiTheme="majorEastAsia" w:eastAsiaTheme="majorEastAsia"/>
        </w:rPr>
        <w:t>1.1目的和依据</w:t>
      </w:r>
      <w:bookmarkEnd w:id="413"/>
      <w:bookmarkEnd w:id="414"/>
      <w:bookmarkEnd w:id="415"/>
      <w:bookmarkEnd w:id="41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（1）为提高应对电子商业汇票系统危机的能力，规范电子商业汇票系统危机处置程序，保障电子商业汇票业务的连续性和社会资金的安全，制定本预案。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本预案依据《中华人民共和国中国人民银行法》、《电子商业汇票业务管理办法》（中国人民银行令〔2009〕第2号发布）、《中国人民银行突发事件应急预案管理办法》（银发〔2014〕174号文印发）等法律法规和规章制度制定。</w:t>
      </w:r>
    </w:p>
    <w:p>
      <w:pPr>
        <w:spacing w:after="156" w:afterLines="50" w:line="360" w:lineRule="auto"/>
        <w:ind w:firstLine="480" w:firstLineChars="200"/>
        <w:rPr>
          <w:rFonts w:hint="eastAsia" w:cs="宋体" w:asciiTheme="majorEastAsia" w:hAnsiTheme="majorEastAsia" w:eastAsiaTheme="majorEastAsia"/>
          <w:lang w:eastAsia="zh-CN"/>
        </w:rPr>
      </w:pPr>
      <w:bookmarkStart w:id="417" w:name="_Toc19642"/>
      <w:bookmarkStart w:id="418" w:name="_Toc2618"/>
      <w:bookmarkStart w:id="419" w:name="_Toc29805"/>
      <w:bookmarkStart w:id="420" w:name="_Toc211780179"/>
      <w:r>
        <w:rPr>
          <w:rFonts w:hint="eastAsia" w:cs="宋体" w:asciiTheme="majorEastAsia" w:hAnsiTheme="majorEastAsia" w:eastAsiaTheme="majorEastAsia"/>
        </w:rPr>
        <w:t>1.2适用范围</w:t>
      </w:r>
      <w:bookmarkEnd w:id="417"/>
      <w:bookmarkEnd w:id="418"/>
      <w:bookmarkEnd w:id="419"/>
      <w:bookmarkEnd w:id="42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本预案适用于由上海票据交易所股份有限公司（以下简称上海票据交易所）和系统参与者对电子商业汇票系统危机的预防、预警、报告和处理。</w:t>
      </w:r>
    </w:p>
    <w:p>
      <w:pPr>
        <w:spacing w:after="156" w:afterLines="50" w:line="360" w:lineRule="auto"/>
        <w:ind w:firstLine="480" w:firstLineChars="200"/>
        <w:rPr>
          <w:rFonts w:cs="宋体" w:asciiTheme="majorEastAsia" w:hAnsiTheme="majorEastAsia" w:eastAsiaTheme="majorEastAsia"/>
        </w:rPr>
      </w:pPr>
      <w:bookmarkStart w:id="421" w:name="_Toc211780180"/>
      <w:bookmarkStart w:id="422" w:name="_Toc3186"/>
      <w:bookmarkStart w:id="423" w:name="_Toc24152"/>
      <w:bookmarkStart w:id="424" w:name="_Toc1356"/>
      <w:r>
        <w:rPr>
          <w:rFonts w:hint="eastAsia" w:cs="宋体" w:asciiTheme="majorEastAsia" w:hAnsiTheme="majorEastAsia" w:eastAsiaTheme="majorEastAsia"/>
        </w:rPr>
        <w:t>1.3突发事件</w:t>
      </w:r>
      <w:bookmarkEnd w:id="421"/>
      <w:bookmarkEnd w:id="422"/>
      <w:bookmarkEnd w:id="423"/>
      <w:bookmarkEnd w:id="424"/>
      <w:bookmarkStart w:id="425" w:name="_Toc21520"/>
      <w:bookmarkStart w:id="426" w:name="_Toc9882"/>
      <w:bookmarkStart w:id="427" w:name="_Toc211780181"/>
    </w:p>
    <w:p>
      <w:pPr>
        <w:spacing w:after="156" w:afterLines="50" w:line="360" w:lineRule="auto"/>
        <w:ind w:firstLine="480" w:firstLineChars="200"/>
        <w:rPr>
          <w:rFonts w:cs="宋体" w:asciiTheme="majorEastAsia" w:hAnsiTheme="majorEastAsia" w:eastAsiaTheme="majorEastAsia"/>
        </w:rPr>
      </w:pPr>
      <w:bookmarkStart w:id="428" w:name="_Toc17966"/>
      <w:r>
        <w:rPr>
          <w:rFonts w:hint="eastAsia" w:cs="宋体" w:asciiTheme="majorEastAsia" w:hAnsiTheme="majorEastAsia" w:eastAsiaTheme="majorEastAsia"/>
        </w:rPr>
        <w:t>1.3.1突发事件的定义</w:t>
      </w:r>
      <w:bookmarkEnd w:id="425"/>
      <w:bookmarkEnd w:id="426"/>
      <w:bookmarkEnd w:id="427"/>
      <w:bookmarkEnd w:id="428"/>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电子商业汇票系统突发事件是指影响电子商业汇票系统正常运行的突发自然灾害、事故灾难、公共卫生事件、社会安全事件等突发事件。</w:t>
      </w:r>
    </w:p>
    <w:p>
      <w:pPr>
        <w:spacing w:after="156" w:afterLines="50" w:line="360" w:lineRule="auto"/>
        <w:ind w:firstLine="480" w:firstLineChars="200"/>
        <w:rPr>
          <w:rFonts w:cs="宋体" w:asciiTheme="majorEastAsia" w:hAnsiTheme="majorEastAsia" w:eastAsiaTheme="majorEastAsia"/>
        </w:rPr>
      </w:pPr>
      <w:bookmarkStart w:id="429" w:name="_Toc211780182"/>
      <w:bookmarkStart w:id="430" w:name="_Toc13163"/>
      <w:bookmarkStart w:id="431" w:name="_Toc20103"/>
      <w:bookmarkStart w:id="432" w:name="_Toc25546"/>
      <w:r>
        <w:rPr>
          <w:rFonts w:hint="eastAsia" w:cs="宋体" w:asciiTheme="majorEastAsia" w:hAnsiTheme="majorEastAsia" w:eastAsiaTheme="majorEastAsia"/>
        </w:rPr>
        <w:t>1.3.2突发事件的分类</w:t>
      </w:r>
      <w:bookmarkEnd w:id="429"/>
      <w:bookmarkEnd w:id="430"/>
      <w:bookmarkEnd w:id="431"/>
      <w:bookmarkEnd w:id="43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电子商业汇票系统突发事件分为电子商业汇票系统危机和其他突发事件。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本预案所称电子商业汇票系统危机包括以下三种情况：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（1）电子商业汇票系统国家处理中心、城市处理中心、前置机崩溃或被侵入。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（2）电子商业汇票系统国家处理中心出现严重故障，预计恢复正常运行时间超过2小时或在电子商业汇票系统预定日终处理时点前无法恢复正常运行的，应定义为危机。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城市处理中心出现严重故障，预计在电子商业汇票系统预定日终处理时点前无法恢复正常运行的，应定义为危机。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前置机在电子商业汇票系统预定日终处理时点前无法恢复正常运行的，应定义为危机。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（3）突发公共卫生事件、社会安全事件造成可用人力资源的操作限制，严重影响电子商业汇票系统相关业务的正常办理。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本预案主要规范电子商业汇票系统危机的处置。其他突发事件可按照《电子商业汇票系统运行管理办法》等相关规定进行处置。</w:t>
      </w:r>
    </w:p>
    <w:p>
      <w:pPr>
        <w:spacing w:after="156" w:afterLines="50" w:line="360" w:lineRule="auto"/>
        <w:ind w:firstLine="480" w:firstLineChars="200"/>
        <w:rPr>
          <w:rFonts w:cs="宋体" w:asciiTheme="majorEastAsia" w:hAnsiTheme="majorEastAsia" w:eastAsiaTheme="majorEastAsia"/>
        </w:rPr>
      </w:pPr>
      <w:bookmarkStart w:id="433" w:name="_Toc18959"/>
      <w:bookmarkStart w:id="434" w:name="_Toc211780183"/>
      <w:bookmarkStart w:id="435" w:name="_Toc30413"/>
      <w:bookmarkStart w:id="436" w:name="_Toc13644"/>
      <w:r>
        <w:rPr>
          <w:rFonts w:hint="eastAsia" w:cs="宋体" w:asciiTheme="majorEastAsia" w:hAnsiTheme="majorEastAsia" w:eastAsiaTheme="majorEastAsia"/>
        </w:rPr>
        <w:t>1.4危机处置原则</w:t>
      </w:r>
      <w:bookmarkEnd w:id="433"/>
      <w:bookmarkEnd w:id="434"/>
      <w:bookmarkEnd w:id="435"/>
      <w:bookmarkEnd w:id="43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（1）业务连续性原则。应采取有效措施，保障电子商业汇票业务处理的连续性。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（2）效率性原则。相关措施应及时快速，将可能造成的损失和影响控制在最小范围内。</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（3）数据完整性原则。应尽快查找丢失的业务数据，以保障数据完整性和资金安全。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（4）可操作性原则。各项处置措施应符合实际，具有可操作性。</w:t>
      </w:r>
    </w:p>
    <w:p>
      <w:pPr>
        <w:spacing w:after="156" w:afterLines="50" w:line="360" w:lineRule="auto"/>
        <w:ind w:firstLine="480" w:firstLineChars="200"/>
        <w:rPr>
          <w:rFonts w:cs="宋体" w:asciiTheme="majorEastAsia" w:hAnsiTheme="majorEastAsia" w:eastAsiaTheme="majorEastAsia"/>
        </w:rPr>
      </w:pPr>
      <w:bookmarkStart w:id="437" w:name="_Toc18456"/>
      <w:bookmarkStart w:id="438" w:name="_Toc4910"/>
      <w:bookmarkStart w:id="439" w:name="_Toc24228"/>
      <w:bookmarkStart w:id="440" w:name="_Toc211780184"/>
      <w:r>
        <w:rPr>
          <w:rFonts w:hint="eastAsia" w:cs="宋体" w:asciiTheme="majorEastAsia" w:hAnsiTheme="majorEastAsia" w:eastAsiaTheme="majorEastAsia"/>
        </w:rPr>
        <w:t>1.5危机处置预案体系</w:t>
      </w:r>
      <w:bookmarkEnd w:id="437"/>
      <w:bookmarkEnd w:id="438"/>
      <w:bookmarkEnd w:id="439"/>
      <w:bookmarkEnd w:id="44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电子商业汇票系统危机处置预案体系主要包括如下内容：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（1）国家处理中心危机处置预案。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（2）城市处理中心危机处置预案。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（3）系统参与者危机处置预案的相关部分。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预案主要规范电子商业汇票系统国家处理中心、城市处理中心和前置机的危机处置。系统参与者危机处置预案包括与电子商业汇票系统危机处置相关的内容。系统参与者危机处置预案相关内容与本预案相关内容不一致的，应以本预案为准。</w:t>
      </w:r>
    </w:p>
    <w:p>
      <w:pPr>
        <w:spacing w:after="156" w:afterLines="50" w:line="360" w:lineRule="auto"/>
        <w:ind w:firstLine="480" w:firstLineChars="200"/>
        <w:rPr>
          <w:rFonts w:cs="宋体" w:asciiTheme="majorEastAsia" w:hAnsiTheme="majorEastAsia" w:eastAsiaTheme="majorEastAsia"/>
        </w:rPr>
      </w:pPr>
      <w:bookmarkStart w:id="441" w:name="_Toc211780185"/>
      <w:r>
        <w:rPr>
          <w:rFonts w:hint="eastAsia" w:cs="宋体" w:asciiTheme="majorEastAsia" w:hAnsiTheme="majorEastAsia" w:eastAsiaTheme="majorEastAsia"/>
        </w:rPr>
        <w:t>2组织机构</w:t>
      </w:r>
      <w:bookmarkEnd w:id="441"/>
    </w:p>
    <w:bookmarkEnd w:id="412"/>
    <w:p>
      <w:pPr>
        <w:spacing w:after="156" w:afterLines="50" w:line="360" w:lineRule="auto"/>
        <w:ind w:firstLine="480" w:firstLineChars="200"/>
        <w:rPr>
          <w:rFonts w:cs="宋体" w:asciiTheme="majorEastAsia" w:hAnsiTheme="majorEastAsia" w:eastAsiaTheme="majorEastAsia"/>
        </w:rPr>
      </w:pPr>
      <w:bookmarkStart w:id="442" w:name="_Toc10717"/>
      <w:bookmarkStart w:id="443" w:name="_Toc65287305"/>
      <w:bookmarkStart w:id="444" w:name="_Toc162066492"/>
      <w:bookmarkStart w:id="445" w:name="_Toc21015"/>
      <w:bookmarkStart w:id="446" w:name="_Toc211780186"/>
      <w:bookmarkStart w:id="447" w:name="_Toc31912"/>
      <w:bookmarkStart w:id="448" w:name="_Toc65143470"/>
      <w:r>
        <w:rPr>
          <w:rFonts w:hint="eastAsia" w:cs="宋体" w:asciiTheme="majorEastAsia" w:hAnsiTheme="majorEastAsia" w:eastAsiaTheme="majorEastAsia"/>
        </w:rPr>
        <w:t>2.1机构设置</w:t>
      </w:r>
      <w:bookmarkEnd w:id="442"/>
      <w:bookmarkEnd w:id="443"/>
      <w:bookmarkEnd w:id="444"/>
      <w:bookmarkEnd w:id="445"/>
      <w:bookmarkEnd w:id="446"/>
      <w:bookmarkEnd w:id="44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按照“反应灵敏、运转高效”的原则，结合电子商业汇票系统的特点，设置危机处置组织机构。</w:t>
      </w:r>
    </w:p>
    <w:p>
      <w:pPr>
        <w:spacing w:after="156" w:afterLines="50" w:line="360" w:lineRule="auto"/>
        <w:ind w:firstLine="480" w:firstLineChars="200"/>
        <w:rPr>
          <w:rFonts w:cs="宋体" w:asciiTheme="majorEastAsia" w:hAnsiTheme="majorEastAsia" w:eastAsiaTheme="majorEastAsia"/>
        </w:rPr>
      </w:pPr>
      <w:bookmarkStart w:id="449" w:name="_Toc2531"/>
      <w:bookmarkStart w:id="450" w:name="_Toc211780187"/>
      <w:bookmarkStart w:id="451" w:name="_Toc14719"/>
      <w:bookmarkStart w:id="452" w:name="_Toc24582"/>
      <w:r>
        <w:rPr>
          <w:rFonts w:hint="eastAsia" w:cs="宋体" w:asciiTheme="majorEastAsia" w:hAnsiTheme="majorEastAsia" w:eastAsiaTheme="majorEastAsia"/>
        </w:rPr>
        <w:t>2.1.1上海票据交易所危机处置领导小组</w:t>
      </w:r>
      <w:bookmarkEnd w:id="449"/>
      <w:bookmarkEnd w:id="450"/>
      <w:bookmarkEnd w:id="451"/>
      <w:bookmarkEnd w:id="45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上海票据交易所危机处置领导小组是电子商业汇票系统危机处置的指挥决策机构（以下简称上海票据交易所领导小组），</w:t>
      </w:r>
      <w:bookmarkStart w:id="453" w:name="_Toc12862"/>
      <w:bookmarkStart w:id="454" w:name="_Toc22166"/>
      <w:bookmarkStart w:id="455" w:name="_Toc21995"/>
      <w:bookmarkStart w:id="456" w:name="_Toc211780189"/>
      <w:r>
        <w:rPr>
          <w:rFonts w:hint="eastAsia" w:cs="宋体" w:asciiTheme="majorEastAsia" w:hAnsiTheme="majorEastAsia" w:eastAsiaTheme="majorEastAsia"/>
        </w:rPr>
        <w:t>组长由上海票据交易所总裁担任，副组长由分管业务、技术和场务的副总裁担任，成员由业务、技术和场务部门的负责人担任。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上海票据交易所领导小组下设办公室，主任由上海票据交易所技术部门负责人担任，成员包括上海票据交易所业务、技术和场务部门有关人员。</w:t>
      </w:r>
      <w:bookmarkEnd w:id="453"/>
      <w:bookmarkEnd w:id="454"/>
      <w:bookmarkEnd w:id="455"/>
      <w:bookmarkEnd w:id="456"/>
      <w:r>
        <w:rPr>
          <w:rFonts w:hint="eastAsia" w:cs="宋体" w:asciiTheme="majorEastAsia" w:hAnsiTheme="majorEastAsia" w:eastAsiaTheme="majorEastAsia"/>
        </w:rPr>
        <w:t>上海票据交易所领导小组和领导小组办公室成员</w:t>
      </w:r>
      <w:bookmarkStart w:id="457" w:name="_Toc22492"/>
      <w:bookmarkStart w:id="458" w:name="_Toc211780191"/>
      <w:bookmarkStart w:id="459" w:name="_Toc27682"/>
      <w:bookmarkStart w:id="460" w:name="_Toc32533"/>
      <w:r>
        <w:rPr>
          <w:rFonts w:hint="eastAsia" w:cs="宋体" w:asciiTheme="majorEastAsia" w:hAnsiTheme="majorEastAsia" w:eastAsiaTheme="majorEastAsia"/>
        </w:rPr>
        <w:t>发生变更的，应及时向中国人民银行报告。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2.1.2系统参与者危机处置领导小组</w:t>
      </w:r>
      <w:bookmarkEnd w:id="457"/>
      <w:bookmarkEnd w:id="458"/>
      <w:bookmarkEnd w:id="459"/>
      <w:bookmarkEnd w:id="46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各系统参与者应以法人为单位成立电子商业汇票系统危机处置领导小组（以下简称系统参与者领导小组），组长由分管的单位负责人担任，成员由相关部门的负责人担任。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系统参与者应以法人为单位将本单位领导小组成员名单报送上海票据交易所；领导小组成员发生变更的，应及时向上海票据交易所报告。</w:t>
      </w:r>
    </w:p>
    <w:p>
      <w:pPr>
        <w:spacing w:after="156" w:afterLines="50" w:line="360" w:lineRule="auto"/>
        <w:ind w:firstLine="480" w:firstLineChars="200"/>
        <w:rPr>
          <w:rFonts w:cs="宋体" w:asciiTheme="majorEastAsia" w:hAnsiTheme="majorEastAsia" w:eastAsiaTheme="majorEastAsia"/>
        </w:rPr>
      </w:pPr>
      <w:bookmarkStart w:id="461" w:name="_Toc2340"/>
      <w:bookmarkStart w:id="462" w:name="_Toc26883"/>
      <w:bookmarkStart w:id="463" w:name="_Toc18379"/>
      <w:bookmarkStart w:id="464" w:name="_Toc211780192"/>
      <w:bookmarkStart w:id="465" w:name="_Toc162066493"/>
      <w:r>
        <w:rPr>
          <w:rFonts w:hint="eastAsia" w:cs="宋体" w:asciiTheme="majorEastAsia" w:hAnsiTheme="majorEastAsia" w:eastAsiaTheme="majorEastAsia"/>
        </w:rPr>
        <w:t>2.2机构职责</w:t>
      </w:r>
      <w:bookmarkEnd w:id="461"/>
      <w:bookmarkEnd w:id="462"/>
      <w:bookmarkEnd w:id="463"/>
      <w:bookmarkEnd w:id="464"/>
      <w:bookmarkEnd w:id="465"/>
    </w:p>
    <w:p>
      <w:pPr>
        <w:spacing w:after="156" w:afterLines="50" w:line="360" w:lineRule="auto"/>
        <w:ind w:firstLine="480" w:firstLineChars="200"/>
        <w:rPr>
          <w:rFonts w:cs="宋体" w:asciiTheme="majorEastAsia" w:hAnsiTheme="majorEastAsia" w:eastAsiaTheme="majorEastAsia"/>
        </w:rPr>
      </w:pPr>
      <w:bookmarkStart w:id="466" w:name="_Toc17236"/>
      <w:bookmarkStart w:id="467" w:name="_Toc211780193"/>
      <w:bookmarkStart w:id="468" w:name="_Toc26939"/>
      <w:bookmarkStart w:id="469" w:name="_Toc27590"/>
      <w:r>
        <w:rPr>
          <w:rFonts w:hint="eastAsia" w:cs="宋体" w:asciiTheme="majorEastAsia" w:hAnsiTheme="majorEastAsia" w:eastAsiaTheme="majorEastAsia"/>
        </w:rPr>
        <w:t>2.2.1上海票据交易所领导小组的主要职责</w:t>
      </w:r>
      <w:bookmarkEnd w:id="466"/>
      <w:bookmarkEnd w:id="467"/>
      <w:bookmarkEnd w:id="468"/>
      <w:bookmarkEnd w:id="469"/>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（1）研究决策电子商业汇票系统危机处置。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（2）统一指挥电子商业汇票系统危机处置工作。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（3）发布启动、结束电子商业汇票系统危机处置方案的命令。</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（4）统一负责相关信息发布。</w:t>
      </w:r>
    </w:p>
    <w:p>
      <w:pPr>
        <w:spacing w:after="156" w:afterLines="50" w:line="360" w:lineRule="auto"/>
        <w:ind w:firstLine="480" w:firstLineChars="200"/>
        <w:rPr>
          <w:rFonts w:hint="eastAsia" w:cs="宋体" w:asciiTheme="majorEastAsia" w:hAnsiTheme="majorEastAsia" w:eastAsiaTheme="majorEastAsia"/>
          <w:lang w:eastAsia="zh-CN"/>
        </w:rPr>
      </w:pPr>
      <w:r>
        <w:rPr>
          <w:rFonts w:hint="eastAsia" w:cs="宋体" w:asciiTheme="majorEastAsia" w:hAnsiTheme="majorEastAsia" w:eastAsiaTheme="majorEastAsia"/>
        </w:rPr>
        <w:t>（5）向中国人民银行报告电子商业汇票系统危机及处置情况。</w:t>
      </w:r>
    </w:p>
    <w:p>
      <w:pPr>
        <w:spacing w:after="156" w:afterLines="50" w:line="360" w:lineRule="auto"/>
        <w:ind w:firstLine="480" w:firstLineChars="200"/>
        <w:rPr>
          <w:rFonts w:cs="宋体" w:asciiTheme="majorEastAsia" w:hAnsiTheme="majorEastAsia" w:eastAsiaTheme="majorEastAsia"/>
        </w:rPr>
      </w:pPr>
      <w:bookmarkStart w:id="470" w:name="_Toc31137"/>
      <w:bookmarkStart w:id="471" w:name="_Toc211780194"/>
      <w:bookmarkStart w:id="472" w:name="_Toc8574"/>
      <w:bookmarkStart w:id="473" w:name="_Toc19801"/>
      <w:r>
        <w:rPr>
          <w:rFonts w:hint="eastAsia" w:cs="宋体" w:asciiTheme="majorEastAsia" w:hAnsiTheme="majorEastAsia" w:eastAsiaTheme="majorEastAsia"/>
        </w:rPr>
        <w:t>2.2.2上海票据交易所领导小组办公室的主要职责</w:t>
      </w:r>
      <w:bookmarkEnd w:id="470"/>
      <w:bookmarkEnd w:id="471"/>
      <w:bookmarkEnd w:id="472"/>
      <w:bookmarkEnd w:id="47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（1）贯彻执行上海票据交易所领导小组的决策。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（2）协调有关单位做好电子商业汇票系统危机处置工作。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（3）收集有关电子商业汇票系统危机处置的情况。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（4）起草有关文件。</w:t>
      </w:r>
    </w:p>
    <w:p>
      <w:pPr>
        <w:spacing w:after="156" w:afterLines="50" w:line="360" w:lineRule="auto"/>
        <w:ind w:firstLine="480" w:firstLineChars="200"/>
        <w:rPr>
          <w:rFonts w:cs="宋体" w:asciiTheme="majorEastAsia" w:hAnsiTheme="majorEastAsia" w:eastAsiaTheme="majorEastAsia"/>
        </w:rPr>
      </w:pPr>
      <w:bookmarkStart w:id="474" w:name="_Toc13413"/>
      <w:bookmarkStart w:id="475" w:name="_Toc211780199"/>
      <w:bookmarkStart w:id="476" w:name="_Toc31428"/>
      <w:bookmarkStart w:id="477" w:name="_Toc14188"/>
      <w:r>
        <w:rPr>
          <w:rFonts w:hint="eastAsia" w:cs="宋体" w:asciiTheme="majorEastAsia" w:hAnsiTheme="majorEastAsia" w:eastAsiaTheme="majorEastAsia"/>
        </w:rPr>
        <w:t>2.2.3系统参与者领导小组的主要职责</w:t>
      </w:r>
      <w:bookmarkEnd w:id="474"/>
      <w:bookmarkEnd w:id="475"/>
      <w:bookmarkEnd w:id="476"/>
      <w:bookmarkEnd w:id="47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（1）执行上海票据交易所领导小组发布的有关电子商业汇票系统危机处置命令。</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（2）及时向上海票据交易所领导小组报告有关情况。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（3）决策和指挥本单位相关业务系统的危机处置。</w:t>
      </w:r>
    </w:p>
    <w:bookmarkEnd w:id="448"/>
    <w:p>
      <w:pPr>
        <w:spacing w:after="156" w:afterLines="50" w:line="360" w:lineRule="auto"/>
        <w:ind w:firstLine="480" w:firstLineChars="200"/>
        <w:rPr>
          <w:rFonts w:cs="宋体" w:asciiTheme="majorEastAsia" w:hAnsiTheme="majorEastAsia" w:eastAsiaTheme="majorEastAsia"/>
        </w:rPr>
      </w:pPr>
      <w:bookmarkStart w:id="478" w:name="_Toc211780200"/>
      <w:r>
        <w:rPr>
          <w:rFonts w:hint="eastAsia" w:cs="宋体" w:asciiTheme="majorEastAsia" w:hAnsiTheme="majorEastAsia" w:eastAsiaTheme="majorEastAsia"/>
        </w:rPr>
        <w:t>3预防与预警</w:t>
      </w:r>
      <w:bookmarkEnd w:id="478"/>
    </w:p>
    <w:p>
      <w:pPr>
        <w:spacing w:after="156" w:afterLines="50" w:line="360" w:lineRule="auto"/>
        <w:ind w:firstLine="480" w:firstLineChars="200"/>
        <w:rPr>
          <w:rFonts w:cs="宋体" w:asciiTheme="majorEastAsia" w:hAnsiTheme="majorEastAsia" w:eastAsiaTheme="majorEastAsia"/>
        </w:rPr>
      </w:pPr>
      <w:bookmarkStart w:id="479" w:name="_Toc32521"/>
      <w:bookmarkStart w:id="480" w:name="_Toc211780201"/>
      <w:bookmarkStart w:id="481" w:name="_Toc18541"/>
      <w:bookmarkStart w:id="482" w:name="_Toc13001"/>
      <w:r>
        <w:rPr>
          <w:rFonts w:hint="eastAsia" w:cs="宋体" w:asciiTheme="majorEastAsia" w:hAnsiTheme="majorEastAsia" w:eastAsiaTheme="majorEastAsia"/>
        </w:rPr>
        <w:t>3.1预防机制的定义</w:t>
      </w:r>
      <w:bookmarkEnd w:id="479"/>
      <w:bookmarkEnd w:id="480"/>
      <w:bookmarkEnd w:id="481"/>
      <w:bookmarkEnd w:id="48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预防机制是指在电子商业汇票系统日常运行中,为防止出现电子商业汇票系统危机，或者在出现危机时最大程度地减少损失所预先采取的措施和行动。</w:t>
      </w:r>
    </w:p>
    <w:p>
      <w:pPr>
        <w:spacing w:after="156" w:afterLines="50" w:line="360" w:lineRule="auto"/>
        <w:ind w:firstLine="480" w:firstLineChars="200"/>
        <w:rPr>
          <w:rFonts w:cs="宋体" w:asciiTheme="majorEastAsia" w:hAnsiTheme="majorEastAsia" w:eastAsiaTheme="majorEastAsia"/>
        </w:rPr>
      </w:pPr>
      <w:bookmarkStart w:id="483" w:name="_Toc12418"/>
      <w:bookmarkStart w:id="484" w:name="_Toc211780202"/>
      <w:bookmarkStart w:id="485" w:name="_Toc27529"/>
      <w:bookmarkStart w:id="486" w:name="_Toc16850"/>
      <w:r>
        <w:rPr>
          <w:rFonts w:hint="eastAsia" w:cs="宋体" w:asciiTheme="majorEastAsia" w:hAnsiTheme="majorEastAsia" w:eastAsiaTheme="majorEastAsia"/>
        </w:rPr>
        <w:t>3.1.1建立和完善灾难备份系统或机制</w:t>
      </w:r>
      <w:bookmarkEnd w:id="483"/>
      <w:bookmarkEnd w:id="484"/>
      <w:bookmarkEnd w:id="485"/>
      <w:bookmarkEnd w:id="48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（1）上海票据交易所应研究建立与电子商业汇票系统相关的灾难备份系统,定期或不定期地进行生产环境切换到灾难备份环境的演练，保障灾难备份系统在危机情况下能快速、高效地投入使用。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（2）系统参与者应建立健全与电子商业汇票系统相关的灾难备份机制。</w:t>
      </w:r>
    </w:p>
    <w:p>
      <w:pPr>
        <w:spacing w:after="156" w:afterLines="50" w:line="360" w:lineRule="auto"/>
        <w:ind w:firstLine="480" w:firstLineChars="200"/>
        <w:rPr>
          <w:rFonts w:cs="宋体" w:asciiTheme="majorEastAsia" w:hAnsiTheme="majorEastAsia" w:eastAsiaTheme="majorEastAsia"/>
        </w:rPr>
      </w:pPr>
      <w:bookmarkStart w:id="487" w:name="_Toc211780203"/>
      <w:bookmarkStart w:id="488" w:name="_Toc26953"/>
      <w:bookmarkStart w:id="489" w:name="_Toc32282"/>
      <w:bookmarkStart w:id="490" w:name="_Toc18524"/>
      <w:r>
        <w:rPr>
          <w:rFonts w:hint="eastAsia" w:cs="宋体" w:asciiTheme="majorEastAsia" w:hAnsiTheme="majorEastAsia" w:eastAsiaTheme="majorEastAsia"/>
        </w:rPr>
        <w:t>3.1.2建立和完善运行维护机制</w:t>
      </w:r>
      <w:bookmarkEnd w:id="487"/>
      <w:bookmarkEnd w:id="488"/>
      <w:bookmarkEnd w:id="489"/>
      <w:bookmarkEnd w:id="49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系统运行部门应严格按照《电子商业汇票系统运行管理办法》的规定，对电子商业汇票系统进行运行维护，定期对电子商业汇票系统计算机系统、网络系统进行系统备份和数据备份，确保电子商业汇票系统安全、稳定、高效运行。</w:t>
      </w:r>
    </w:p>
    <w:p>
      <w:pPr>
        <w:spacing w:after="156" w:afterLines="50" w:line="360" w:lineRule="auto"/>
        <w:ind w:firstLine="480" w:firstLineChars="200"/>
        <w:rPr>
          <w:rFonts w:cs="宋体" w:asciiTheme="majorEastAsia" w:hAnsiTheme="majorEastAsia" w:eastAsiaTheme="majorEastAsia"/>
        </w:rPr>
      </w:pPr>
      <w:bookmarkStart w:id="491" w:name="_Toc23458"/>
      <w:bookmarkStart w:id="492" w:name="_Toc15999"/>
      <w:bookmarkStart w:id="493" w:name="_Toc24604"/>
      <w:bookmarkStart w:id="494" w:name="_Toc211780204"/>
      <w:r>
        <w:rPr>
          <w:rFonts w:hint="eastAsia" w:cs="宋体" w:asciiTheme="majorEastAsia" w:hAnsiTheme="majorEastAsia" w:eastAsiaTheme="majorEastAsia"/>
        </w:rPr>
        <w:t>3.1.3妥善留存相关业务资料</w:t>
      </w:r>
      <w:bookmarkEnd w:id="491"/>
      <w:bookmarkEnd w:id="492"/>
      <w:bookmarkEnd w:id="493"/>
      <w:bookmarkEnd w:id="49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上海票据交易所和系统参与者应按有关规定保留电子商业汇票系统业务凭证、业务报文以及相关日志等资料信息，作为危机处置时业务核对的依据。</w:t>
      </w:r>
    </w:p>
    <w:p>
      <w:pPr>
        <w:spacing w:after="156" w:afterLines="50" w:line="360" w:lineRule="auto"/>
        <w:ind w:firstLine="480" w:firstLineChars="200"/>
        <w:rPr>
          <w:rFonts w:cs="宋体" w:asciiTheme="majorEastAsia" w:hAnsiTheme="majorEastAsia" w:eastAsiaTheme="majorEastAsia"/>
        </w:rPr>
      </w:pPr>
      <w:bookmarkStart w:id="495" w:name="_Toc211780205"/>
      <w:bookmarkStart w:id="496" w:name="_Toc19496"/>
      <w:bookmarkStart w:id="497" w:name="_Toc18804"/>
      <w:bookmarkStart w:id="498" w:name="_Toc25035"/>
      <w:r>
        <w:rPr>
          <w:rFonts w:hint="eastAsia" w:cs="宋体" w:asciiTheme="majorEastAsia" w:hAnsiTheme="majorEastAsia" w:eastAsiaTheme="majorEastAsia"/>
        </w:rPr>
        <w:t>3.1.4开发</w:t>
      </w:r>
      <w:bookmarkEnd w:id="495"/>
      <w:r>
        <w:rPr>
          <w:rFonts w:hint="eastAsia" w:cs="宋体" w:asciiTheme="majorEastAsia" w:hAnsiTheme="majorEastAsia" w:eastAsiaTheme="majorEastAsia"/>
        </w:rPr>
        <w:t>灾难比对软件</w:t>
      </w:r>
      <w:bookmarkEnd w:id="496"/>
      <w:bookmarkEnd w:id="497"/>
      <w:bookmarkEnd w:id="498"/>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上海票据交易所应开发电子商业汇票系统灾难比对软件，确保在危机处置时能获取电子商业汇票系统相关报文。</w:t>
      </w:r>
    </w:p>
    <w:p>
      <w:pPr>
        <w:spacing w:after="156" w:afterLines="50" w:line="360" w:lineRule="auto"/>
        <w:ind w:firstLine="480" w:firstLineChars="200"/>
        <w:rPr>
          <w:rFonts w:cs="宋体" w:asciiTheme="majorEastAsia" w:hAnsiTheme="majorEastAsia" w:eastAsiaTheme="majorEastAsia"/>
        </w:rPr>
      </w:pPr>
      <w:bookmarkStart w:id="499" w:name="_Toc11540"/>
      <w:bookmarkStart w:id="500" w:name="_Toc211780206"/>
      <w:bookmarkStart w:id="501" w:name="_Toc29776"/>
      <w:bookmarkStart w:id="502" w:name="_Toc12647"/>
      <w:r>
        <w:rPr>
          <w:rFonts w:hint="eastAsia" w:cs="宋体" w:asciiTheme="majorEastAsia" w:hAnsiTheme="majorEastAsia" w:eastAsiaTheme="majorEastAsia"/>
        </w:rPr>
        <w:t>3.2预警机制的定义</w:t>
      </w:r>
      <w:bookmarkEnd w:id="499"/>
      <w:bookmarkEnd w:id="500"/>
      <w:bookmarkEnd w:id="501"/>
      <w:bookmarkEnd w:id="50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预警机制是指对电子商业汇票系统危机发生的可能性及其可能造成的影响进行的预测、分析、评估和处理。</w:t>
      </w:r>
    </w:p>
    <w:p>
      <w:pPr>
        <w:spacing w:after="156" w:afterLines="50" w:line="360" w:lineRule="auto"/>
        <w:ind w:firstLine="480" w:firstLineChars="200"/>
        <w:rPr>
          <w:rFonts w:cs="宋体" w:asciiTheme="majorEastAsia" w:hAnsiTheme="majorEastAsia" w:eastAsiaTheme="majorEastAsia"/>
        </w:rPr>
      </w:pPr>
      <w:bookmarkStart w:id="503" w:name="_Toc211780207"/>
      <w:bookmarkStart w:id="504" w:name="_Toc31205"/>
      <w:bookmarkStart w:id="505" w:name="_Toc25697"/>
      <w:bookmarkStart w:id="506" w:name="_Toc28475"/>
      <w:r>
        <w:rPr>
          <w:rFonts w:hint="eastAsia" w:cs="宋体" w:asciiTheme="majorEastAsia" w:hAnsiTheme="majorEastAsia" w:eastAsiaTheme="majorEastAsia"/>
        </w:rPr>
        <w:t>3.2.1预警信息来源</w:t>
      </w:r>
      <w:bookmarkEnd w:id="503"/>
      <w:bookmarkEnd w:id="504"/>
      <w:bookmarkEnd w:id="505"/>
      <w:bookmarkEnd w:id="50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预警信息分为系统运行异常信息和外部事件信息。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（1）系统运行异常信息是指电子商业汇票系统在运行过程中，其硬件设备、应用软件、通讯网络等出现异常情况的信息。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（2）外部事件信息是指可能影响电子商业汇票系统正常运行的自然灾害、事故灾难、突发公共卫生事件、突发社会安全事件等信息。</w:t>
      </w:r>
    </w:p>
    <w:p>
      <w:pPr>
        <w:spacing w:after="156" w:afterLines="50" w:line="360" w:lineRule="auto"/>
        <w:ind w:firstLine="480" w:firstLineChars="200"/>
        <w:rPr>
          <w:rFonts w:cs="宋体" w:asciiTheme="majorEastAsia" w:hAnsiTheme="majorEastAsia" w:eastAsiaTheme="majorEastAsia"/>
        </w:rPr>
      </w:pPr>
      <w:bookmarkStart w:id="507" w:name="_Toc30455"/>
      <w:bookmarkStart w:id="508" w:name="_Toc211780208"/>
      <w:bookmarkStart w:id="509" w:name="_Toc23759"/>
      <w:bookmarkStart w:id="510" w:name="_Toc4672"/>
      <w:r>
        <w:rPr>
          <w:rFonts w:hint="eastAsia" w:cs="宋体" w:asciiTheme="majorEastAsia" w:hAnsiTheme="majorEastAsia" w:eastAsiaTheme="majorEastAsia"/>
        </w:rPr>
        <w:t>3.2.2预警信息的收集和报告</w:t>
      </w:r>
      <w:bookmarkEnd w:id="507"/>
      <w:bookmarkEnd w:id="508"/>
      <w:bookmarkEnd w:id="509"/>
      <w:bookmarkEnd w:id="51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（1）电子商业汇票系统业务部门和运行部门负责收集系统运行异常信息，并向本单位领导小组或其办公室报告。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（2）上海票据交易所领导小组办公室负责收集外部事件信息，并向上海票据交易所领导小组报告。</w:t>
      </w:r>
    </w:p>
    <w:p>
      <w:pPr>
        <w:spacing w:after="156" w:afterLines="50" w:line="360" w:lineRule="auto"/>
        <w:ind w:firstLine="480" w:firstLineChars="200"/>
        <w:rPr>
          <w:rFonts w:cs="宋体" w:asciiTheme="majorEastAsia" w:hAnsiTheme="majorEastAsia" w:eastAsiaTheme="majorEastAsia"/>
        </w:rPr>
      </w:pPr>
      <w:bookmarkStart w:id="511" w:name="_Toc1675"/>
      <w:bookmarkStart w:id="512" w:name="_Toc211780209"/>
      <w:bookmarkStart w:id="513" w:name="_Toc1711"/>
      <w:bookmarkStart w:id="514" w:name="_Toc10080"/>
      <w:r>
        <w:rPr>
          <w:rFonts w:hint="eastAsia" w:cs="宋体" w:asciiTheme="majorEastAsia" w:hAnsiTheme="majorEastAsia" w:eastAsiaTheme="majorEastAsia"/>
        </w:rPr>
        <w:t>3.2.3预警信息分析与行动</w:t>
      </w:r>
      <w:bookmarkEnd w:id="511"/>
      <w:bookmarkEnd w:id="512"/>
      <w:bookmarkEnd w:id="513"/>
      <w:bookmarkEnd w:id="51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上海票据交易所领导小组办公室应及时对预警信息进行分析、评估。对于发生可能性较大的电子商业汇票系统危机，应及时通知有关单位加强预防、密切监测，并做好有关危机处置的准备。</w:t>
      </w:r>
    </w:p>
    <w:p>
      <w:pPr>
        <w:spacing w:after="156" w:afterLines="50" w:line="360" w:lineRule="auto"/>
        <w:ind w:firstLine="480" w:firstLineChars="200"/>
        <w:rPr>
          <w:rFonts w:cs="宋体" w:asciiTheme="majorEastAsia" w:hAnsiTheme="majorEastAsia" w:eastAsiaTheme="majorEastAsia"/>
        </w:rPr>
      </w:pPr>
      <w:bookmarkStart w:id="515" w:name="_Toc211780210"/>
      <w:bookmarkStart w:id="516" w:name="_Toc64999923"/>
      <w:r>
        <w:rPr>
          <w:rFonts w:hint="eastAsia" w:cs="宋体" w:asciiTheme="majorEastAsia" w:hAnsiTheme="majorEastAsia" w:eastAsiaTheme="majorEastAsia"/>
        </w:rPr>
        <w:t>4报告与指挥</w:t>
      </w:r>
      <w:bookmarkEnd w:id="515"/>
    </w:p>
    <w:p>
      <w:pPr>
        <w:spacing w:after="156" w:afterLines="50" w:line="360" w:lineRule="auto"/>
        <w:ind w:firstLine="480" w:firstLineChars="200"/>
        <w:rPr>
          <w:rFonts w:cs="宋体" w:asciiTheme="majorEastAsia" w:hAnsiTheme="majorEastAsia" w:eastAsiaTheme="majorEastAsia"/>
        </w:rPr>
      </w:pPr>
      <w:bookmarkStart w:id="517" w:name="_Toc25639"/>
      <w:bookmarkStart w:id="518" w:name="_Toc211780211"/>
      <w:bookmarkStart w:id="519" w:name="_Toc17704"/>
      <w:bookmarkStart w:id="520" w:name="_Toc253"/>
      <w:r>
        <w:rPr>
          <w:rFonts w:hint="eastAsia" w:cs="宋体" w:asciiTheme="majorEastAsia" w:hAnsiTheme="majorEastAsia" w:eastAsiaTheme="majorEastAsia"/>
        </w:rPr>
        <w:t>4.1报告</w:t>
      </w:r>
      <w:bookmarkEnd w:id="517"/>
      <w:bookmarkEnd w:id="518"/>
      <w:bookmarkEnd w:id="519"/>
      <w:bookmarkEnd w:id="520"/>
    </w:p>
    <w:p>
      <w:pPr>
        <w:spacing w:after="156" w:afterLines="50" w:line="360" w:lineRule="auto"/>
        <w:ind w:firstLine="480" w:firstLineChars="200"/>
        <w:rPr>
          <w:rFonts w:cs="宋体" w:asciiTheme="majorEastAsia" w:hAnsiTheme="majorEastAsia" w:eastAsiaTheme="majorEastAsia"/>
        </w:rPr>
      </w:pPr>
      <w:bookmarkStart w:id="521" w:name="_Toc211780212"/>
      <w:bookmarkStart w:id="522" w:name="_Toc31132"/>
      <w:bookmarkStart w:id="523" w:name="_Toc25661"/>
      <w:bookmarkStart w:id="524" w:name="_Toc2461"/>
      <w:r>
        <w:rPr>
          <w:rFonts w:hint="eastAsia" w:cs="宋体" w:asciiTheme="majorEastAsia" w:hAnsiTheme="majorEastAsia" w:eastAsiaTheme="majorEastAsia"/>
        </w:rPr>
        <w:t>4.1.1报告时间要求</w:t>
      </w:r>
      <w:bookmarkEnd w:id="521"/>
      <w:bookmarkEnd w:id="522"/>
      <w:bookmarkEnd w:id="523"/>
      <w:bookmarkEnd w:id="52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有关单位和部门应在电子商业汇票系统危机发生后至迟半小时内将有关情况报告上海票据交易所领导小组办公室。</w:t>
      </w:r>
    </w:p>
    <w:p>
      <w:pPr>
        <w:spacing w:after="156" w:afterLines="50" w:line="360" w:lineRule="auto"/>
        <w:ind w:firstLine="480" w:firstLineChars="200"/>
        <w:rPr>
          <w:rFonts w:cs="宋体" w:asciiTheme="majorEastAsia" w:hAnsiTheme="majorEastAsia" w:eastAsiaTheme="majorEastAsia"/>
        </w:rPr>
      </w:pPr>
      <w:bookmarkStart w:id="525" w:name="_Toc19973"/>
      <w:bookmarkStart w:id="526" w:name="_Toc8041"/>
      <w:bookmarkStart w:id="527" w:name="_Toc211780213"/>
      <w:bookmarkStart w:id="528" w:name="_Toc24598"/>
      <w:r>
        <w:rPr>
          <w:rFonts w:hint="eastAsia" w:cs="宋体" w:asciiTheme="majorEastAsia" w:hAnsiTheme="majorEastAsia" w:eastAsiaTheme="majorEastAsia"/>
        </w:rPr>
        <w:t>4.1.2报告程序</w:t>
      </w:r>
      <w:bookmarkEnd w:id="525"/>
      <w:bookmarkEnd w:id="526"/>
      <w:bookmarkEnd w:id="527"/>
      <w:bookmarkEnd w:id="528"/>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（1）电子商业汇票系统国家处理中心和城市处理中心发生危机时，电子商业汇票系统运行部门应立即向上海票据交易所领导小组办公室报告。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（2）前置机、系统参与者相关业务系统发生重大故障时，应立即向系统参与者领导小组报告，并由系统参与者领导小组向上海票据交易所领导小组报告。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（3）上海票据交易所领导小组应将有关情况报告中国人民银行。</w:t>
      </w:r>
    </w:p>
    <w:p>
      <w:pPr>
        <w:spacing w:after="156" w:afterLines="50" w:line="360" w:lineRule="auto"/>
        <w:ind w:firstLine="480" w:firstLineChars="200"/>
        <w:rPr>
          <w:rFonts w:cs="宋体" w:asciiTheme="majorEastAsia" w:hAnsiTheme="majorEastAsia" w:eastAsiaTheme="majorEastAsia"/>
        </w:rPr>
      </w:pPr>
      <w:bookmarkStart w:id="529" w:name="_Toc26326"/>
      <w:bookmarkStart w:id="530" w:name="_Toc26894"/>
      <w:bookmarkStart w:id="531" w:name="_Toc211780214"/>
      <w:bookmarkStart w:id="532" w:name="_Toc18917"/>
      <w:r>
        <w:rPr>
          <w:rFonts w:hint="eastAsia" w:cs="宋体" w:asciiTheme="majorEastAsia" w:hAnsiTheme="majorEastAsia" w:eastAsiaTheme="majorEastAsia"/>
        </w:rPr>
        <w:t>4.1.3报告内容</w:t>
      </w:r>
      <w:bookmarkEnd w:id="529"/>
      <w:bookmarkEnd w:id="530"/>
      <w:bookmarkEnd w:id="531"/>
      <w:bookmarkEnd w:id="53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（1）危机发生的单位、时间和地点。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（2）危机性质和原因。危机的性质包括应用系统故障、数据库故障、网络故障、自然灾害、事故灾难、公共卫生事件、社会安全事件等。能说明危机原因的，应予以详细说明。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（3）危机的影响程度。包括危机发生后对系统运行造成的影响程度、影响范围等。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（4）现场处置情况。包括现场组织指挥、先期处置措施、系统修复等情况。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（5）启动危机处置方案的请求。报告单位应根据危机情况，提出启动危机处置方案的请求。</w:t>
      </w:r>
    </w:p>
    <w:p>
      <w:pPr>
        <w:spacing w:after="156" w:afterLines="50" w:line="360" w:lineRule="auto"/>
        <w:ind w:firstLine="480" w:firstLineChars="200"/>
        <w:rPr>
          <w:rFonts w:cs="宋体" w:asciiTheme="majorEastAsia" w:hAnsiTheme="majorEastAsia" w:eastAsiaTheme="majorEastAsia"/>
        </w:rPr>
      </w:pPr>
      <w:bookmarkStart w:id="533" w:name="_Toc3888"/>
      <w:bookmarkStart w:id="534" w:name="_Toc4858"/>
      <w:bookmarkStart w:id="535" w:name="_Toc21074"/>
      <w:bookmarkStart w:id="536" w:name="_Toc211780215"/>
      <w:r>
        <w:rPr>
          <w:rFonts w:hint="eastAsia" w:cs="宋体" w:asciiTheme="majorEastAsia" w:hAnsiTheme="majorEastAsia" w:eastAsiaTheme="majorEastAsia"/>
        </w:rPr>
        <w:t>4.1.4报告形式</w:t>
      </w:r>
      <w:bookmarkEnd w:id="533"/>
      <w:bookmarkEnd w:id="534"/>
      <w:bookmarkEnd w:id="535"/>
      <w:bookmarkEnd w:id="53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故障报告应采用书面报告的形式。情况紧急的，可采用先电话报告后书面报告的形式。</w:t>
      </w:r>
    </w:p>
    <w:p>
      <w:pPr>
        <w:spacing w:after="156" w:afterLines="50" w:line="360" w:lineRule="auto"/>
        <w:ind w:firstLine="480" w:firstLineChars="200"/>
        <w:rPr>
          <w:rFonts w:cs="宋体" w:asciiTheme="majorEastAsia" w:hAnsiTheme="majorEastAsia" w:eastAsiaTheme="majorEastAsia"/>
        </w:rPr>
      </w:pPr>
      <w:bookmarkStart w:id="537" w:name="_Toc16533"/>
      <w:bookmarkStart w:id="538" w:name="_Toc211780216"/>
      <w:bookmarkStart w:id="539" w:name="_Toc6144"/>
      <w:bookmarkStart w:id="540" w:name="_Toc23777"/>
      <w:r>
        <w:rPr>
          <w:rFonts w:hint="eastAsia" w:cs="宋体" w:asciiTheme="majorEastAsia" w:hAnsiTheme="majorEastAsia" w:eastAsiaTheme="majorEastAsia"/>
        </w:rPr>
        <w:t>4.2领导小组决策</w:t>
      </w:r>
      <w:bookmarkEnd w:id="537"/>
      <w:bookmarkEnd w:id="538"/>
      <w:bookmarkEnd w:id="539"/>
      <w:bookmarkEnd w:id="540"/>
    </w:p>
    <w:p>
      <w:pPr>
        <w:spacing w:after="156" w:afterLines="50" w:line="360" w:lineRule="auto"/>
        <w:ind w:firstLine="480" w:firstLineChars="200"/>
        <w:rPr>
          <w:rFonts w:cs="宋体" w:asciiTheme="majorEastAsia" w:hAnsiTheme="majorEastAsia" w:eastAsiaTheme="majorEastAsia"/>
        </w:rPr>
      </w:pPr>
      <w:bookmarkStart w:id="541" w:name="_Toc2078"/>
      <w:bookmarkStart w:id="542" w:name="_Toc10539"/>
      <w:bookmarkStart w:id="543" w:name="_Toc211780217"/>
      <w:bookmarkStart w:id="544" w:name="_Toc24399"/>
      <w:r>
        <w:rPr>
          <w:rFonts w:hint="eastAsia" w:cs="宋体" w:asciiTheme="majorEastAsia" w:hAnsiTheme="majorEastAsia" w:eastAsiaTheme="majorEastAsia"/>
        </w:rPr>
        <w:t>4.2.1决策原则</w:t>
      </w:r>
      <w:bookmarkEnd w:id="541"/>
      <w:bookmarkEnd w:id="542"/>
      <w:bookmarkEnd w:id="543"/>
      <w:bookmarkEnd w:id="54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（1）划分事权，分级决策。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电子商业汇票系统国家处理中心、城市处理中心系统危机的处置由上海票据交易所领导小组决策。前置机及系统参与者相关业务系统发生重大故障的，由其领导小组自行决策处置措施。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（2）快速反应，研究决策。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危机发生后，领导小组应立即召开会议，研究决策，尽快恢复电子商业汇票系统正常运行。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（3）措施得当，果断决策。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危机事件发生后，领导小组应果断决策，启动相应的危机处置方案，最大限度地降低风险，减少损失。</w:t>
      </w:r>
    </w:p>
    <w:p>
      <w:pPr>
        <w:spacing w:after="156" w:afterLines="50" w:line="360" w:lineRule="auto"/>
        <w:ind w:firstLine="480" w:firstLineChars="200"/>
        <w:rPr>
          <w:rFonts w:cs="宋体" w:asciiTheme="majorEastAsia" w:hAnsiTheme="majorEastAsia" w:eastAsiaTheme="majorEastAsia"/>
        </w:rPr>
      </w:pPr>
      <w:bookmarkStart w:id="545" w:name="_Toc19746"/>
      <w:bookmarkStart w:id="546" w:name="_Toc4552"/>
      <w:bookmarkStart w:id="547" w:name="_Toc21022"/>
      <w:bookmarkStart w:id="548" w:name="_Toc211780218"/>
      <w:r>
        <w:rPr>
          <w:rFonts w:hint="eastAsia" w:cs="宋体" w:asciiTheme="majorEastAsia" w:hAnsiTheme="majorEastAsia" w:eastAsiaTheme="majorEastAsia"/>
        </w:rPr>
        <w:t>4.2.2决策程序</w:t>
      </w:r>
      <w:bookmarkEnd w:id="545"/>
      <w:bookmarkEnd w:id="546"/>
      <w:bookmarkEnd w:id="547"/>
      <w:bookmarkEnd w:id="548"/>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（1）上海票据交易所领导小组决策程序。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系统发生危机后，上海票据交易所应立即报告中国人民银行，并召开领导小组会议，分析危机发生的原因、影响，决策处置措施。对于影响特别严重难以决策的，应立即组织专家会议研究，必要时报中国人民银行决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（2）系统参与者领导小组决策程序。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前置机及系统参与者相关业务系统出现重大故障后，应立即召开领导小组会议，分析故障发生的原因、影响，决策处置措施。</w:t>
      </w:r>
    </w:p>
    <w:p>
      <w:pPr>
        <w:spacing w:after="156" w:afterLines="50" w:line="360" w:lineRule="auto"/>
        <w:ind w:firstLine="480" w:firstLineChars="200"/>
        <w:rPr>
          <w:rFonts w:cs="宋体" w:asciiTheme="majorEastAsia" w:hAnsiTheme="majorEastAsia" w:eastAsiaTheme="majorEastAsia"/>
        </w:rPr>
      </w:pPr>
      <w:bookmarkStart w:id="549" w:name="_Toc10779"/>
      <w:bookmarkStart w:id="550" w:name="_Toc26309"/>
      <w:bookmarkStart w:id="551" w:name="_Toc211780219"/>
      <w:bookmarkStart w:id="552" w:name="_Toc17708"/>
      <w:r>
        <w:rPr>
          <w:rFonts w:hint="eastAsia" w:cs="宋体" w:asciiTheme="majorEastAsia" w:hAnsiTheme="majorEastAsia" w:eastAsiaTheme="majorEastAsia"/>
        </w:rPr>
        <w:t>4.3指挥流程</w:t>
      </w:r>
      <w:bookmarkEnd w:id="549"/>
      <w:bookmarkEnd w:id="550"/>
      <w:bookmarkEnd w:id="551"/>
      <w:bookmarkEnd w:id="55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电子商业汇票系统国家处理中心、城市处理中心出现危机时，遵循以下处理流程：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根据上海票据交易所领导小组的决策，上海票据交易所领导小组办公室负责向上海票据交易所相关业务部门、技术和场务部门以及系统参与者领导小组传达启动危机处置方案的命令；指导和督促有关单位和部门认真履行职责，协调业务和技术处置事宜；掌握危机处置进展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（2）上海票据交易所业务部门接到命令后，负责协调、指挥危机处置业务方案的实施；收集、整理危机处置业务方面的信息，上报上海票据交易所领导小组办公室；根据实际情况及时调整危机处置业务方案。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上海票据交易所技术部门接到命令后，负责协调、指导各单位危机处置技术方案的实施；收集、整理危机处置技术方面的信息，上报上海票据交易所领导小组办公室；根据实际情况及时调整危机处置技术方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（4）上海票据交易所场务部门接到命令后，迅速组织有关人员按照危机处置方案进行操作；及时向上海票据交易所领导小组办公室报告应急处置方案的执行情况及问题，并提出改进建议。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（5）系统参与者领导小组接到命令后，负责组织本单位的危机处置工作，及时向上海票据交易所领导小组报告应急处置方案的执行情况及问题，并提出改进建议。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（6）上海票据交易所领导小组办公室应对上海票据交易所相关业务部门、技术部门、场务部门和系统参与者领导小组上报的危机处置信息进行汇总、整理，并向上海票据交易所领导小组报告。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（7）上海票据交易所领导小组根据上报信息，分析并决策；确认危机处置结束时，发布结束命令。</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（8）上海票据交易所领导小组汇总整理危机处置情况和处置结果，报告中国人民银行。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如遇重大事件，上海票据交易所领导小组须及时报告中国人民银行。</w:t>
      </w:r>
    </w:p>
    <w:bookmarkEnd w:id="516"/>
    <w:p>
      <w:pPr>
        <w:spacing w:after="156" w:afterLines="50" w:line="360" w:lineRule="auto"/>
        <w:ind w:firstLine="480" w:firstLineChars="200"/>
        <w:rPr>
          <w:rFonts w:cs="宋体" w:asciiTheme="majorEastAsia" w:hAnsiTheme="majorEastAsia" w:eastAsiaTheme="majorEastAsia"/>
        </w:rPr>
      </w:pPr>
      <w:bookmarkStart w:id="553" w:name="_Toc211780223"/>
      <w:r>
        <w:rPr>
          <w:rFonts w:hint="eastAsia" w:cs="宋体" w:asciiTheme="majorEastAsia" w:hAnsiTheme="majorEastAsia" w:eastAsiaTheme="majorEastAsia"/>
        </w:rPr>
        <w:t>5危机处置方案</w:t>
      </w:r>
      <w:bookmarkEnd w:id="553"/>
    </w:p>
    <w:p>
      <w:pPr>
        <w:spacing w:after="156" w:afterLines="50" w:line="360" w:lineRule="auto"/>
        <w:ind w:firstLine="480" w:firstLineChars="200"/>
        <w:rPr>
          <w:rFonts w:cs="宋体" w:asciiTheme="majorEastAsia" w:hAnsiTheme="majorEastAsia" w:eastAsiaTheme="majorEastAsia"/>
        </w:rPr>
      </w:pPr>
      <w:bookmarkStart w:id="554" w:name="_Toc24740"/>
      <w:bookmarkStart w:id="555" w:name="_Toc211780224"/>
      <w:bookmarkStart w:id="556" w:name="_Toc24745"/>
      <w:bookmarkStart w:id="557" w:name="_Toc25194"/>
      <w:bookmarkStart w:id="558" w:name="_Toc135982071"/>
      <w:bookmarkStart w:id="559" w:name="_Toc135982074"/>
      <w:r>
        <w:rPr>
          <w:rFonts w:hint="eastAsia" w:cs="宋体" w:asciiTheme="majorEastAsia" w:hAnsiTheme="majorEastAsia" w:eastAsiaTheme="majorEastAsia"/>
        </w:rPr>
        <w:t>5.1危机处置具体方案</w:t>
      </w:r>
      <w:bookmarkEnd w:id="554"/>
      <w:bookmarkEnd w:id="555"/>
      <w:bookmarkEnd w:id="556"/>
      <w:bookmarkEnd w:id="55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电子商业汇票系统国家处理中心、城市处理中心以及系统参与者应按照上海票据交易所领导小组启动有关危机处置方案的命令，实施相应的危机处置方案。</w:t>
      </w:r>
    </w:p>
    <w:p>
      <w:pPr>
        <w:spacing w:after="156" w:afterLines="50" w:line="360" w:lineRule="auto"/>
        <w:ind w:firstLine="480" w:firstLineChars="200"/>
        <w:rPr>
          <w:rFonts w:cs="宋体" w:asciiTheme="majorEastAsia" w:hAnsiTheme="majorEastAsia" w:eastAsiaTheme="majorEastAsia"/>
        </w:rPr>
      </w:pPr>
      <w:bookmarkStart w:id="560" w:name="_Toc211780225"/>
      <w:bookmarkStart w:id="561" w:name="_Toc27669"/>
      <w:bookmarkStart w:id="562" w:name="_Toc32216"/>
      <w:bookmarkStart w:id="563" w:name="_Toc22262"/>
      <w:r>
        <w:rPr>
          <w:rFonts w:hint="eastAsia" w:cs="宋体" w:asciiTheme="majorEastAsia" w:hAnsiTheme="majorEastAsia" w:eastAsiaTheme="majorEastAsia"/>
        </w:rPr>
        <w:t>5.1.1电子商业汇票系统国家处理中心危机的处置</w:t>
      </w:r>
      <w:bookmarkEnd w:id="560"/>
      <w:bookmarkEnd w:id="561"/>
      <w:bookmarkEnd w:id="562"/>
      <w:bookmarkEnd w:id="56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电子商业汇票系统国家处理中心是电子商业汇票系统的核心节点（以下简称核心节点），核心节点重大故障将影响所有系统参与者业务的正常办理。</w:t>
      </w:r>
    </w:p>
    <w:p>
      <w:pPr>
        <w:spacing w:after="156" w:afterLines="50" w:line="360" w:lineRule="auto"/>
        <w:ind w:firstLine="480" w:firstLineChars="200"/>
        <w:rPr>
          <w:rFonts w:cs="宋体" w:asciiTheme="majorEastAsia" w:hAnsiTheme="majorEastAsia" w:eastAsiaTheme="majorEastAsia"/>
        </w:rPr>
      </w:pPr>
      <w:bookmarkStart w:id="564" w:name="_Toc13748"/>
      <w:bookmarkStart w:id="565" w:name="_Toc8356"/>
      <w:bookmarkStart w:id="566" w:name="_Toc1562"/>
      <w:r>
        <w:rPr>
          <w:rFonts w:hint="eastAsia" w:cs="宋体" w:asciiTheme="majorEastAsia" w:hAnsiTheme="majorEastAsia" w:eastAsiaTheme="majorEastAsia"/>
        </w:rPr>
        <w:t>5.1.1.1核心节点重大故障的处置</w:t>
      </w:r>
      <w:bookmarkEnd w:id="564"/>
      <w:bookmarkEnd w:id="565"/>
      <w:bookmarkEnd w:id="56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核心节点重大故障分为应用系统重大故障和数据库重大故障。核心节点应用系统重大故障是指核心节点由于网络、计算机硬件、软件发生重大故障，无法继续受理电子商业汇票业务。核心节点数据库系统重大故障是指核心节点业务数据和系统控制数据均遭到破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核心节点发生重大故障后的基本处置流程和方法如下。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（1）实施技术救治。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核心节点发生应用系统重大故障或数据库重大故障时，上海票据交易所电子商业汇票系统技术部门应立即实施技术救治。在救治期间，电子商业汇票系统国家处理中心应暂停受理新的电子商业汇票业务。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（2）业务应急处置。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核心节点发生重大故障后，上海票据交易所领导小组可宣布电子商业汇票系统暂停运行。在系统暂停运行期间，将国家处理中心设置为故障状态，各城市处理中心向下辖接入点广播“NPC和CCPC状态变更报文”，通知接入点国家处理中心故障，同时城市处理中心暂停受理系统参与者发起的任何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（3）系统紧急切换。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如果在一定时间内无法恢复系统正常运行，由上海票据交易所领导小组决定是否切换系统到电子商业汇票系统备份系统运行。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（4）数据恢复。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核心节点发生数据库重大故障的，对于故障发生日以前的数据，电子商业汇票系统国家处理中心应通过备份数据等方法予以恢复；对于故障发生当日已经丢失的数据，应在数据库系统救治完成并恢复故障发生日以前的数据后，根据故障发生时核心节点的系统状态，分情况进行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（5）系统恢复和业务恢复。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核心节点救治完成且全部数据恢复后，电子商业汇票系统国家处理中心应将核心节点调整到正确的系统状态，验证基础数据和系统状态，并在验证无误后恢复系统运行。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上海票据交易所领导小组发布命令，恢复启用电子商业汇票系统办理电子商业汇票业务，并通过“NPC和CCPC状态变更报文”报文通知城市处理中心、系统参与者，将国家处理中心恢复为“有效”状态，开始受理系统参与者发出的当日业务。同时，在国家处理中心修改工作日的属性，将下一工作日（不含）到故障恢复日（不含）当日的日期属性均修改为电子商业汇票系统节假日，将故障日的下一工作日设置为法定节假日，当日业务全部处理完成后再做当日日切。日切后将下一工作日到期的业务均处理完成后，再将电子商业汇票系统切换到故障恢复日的日期，至此，故障恢复和业务恢复全部完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若故障日当日可以恢复业务的，不需要修改工作日的属性而可以直接做日切。</w:t>
      </w:r>
    </w:p>
    <w:p>
      <w:pPr>
        <w:spacing w:after="156" w:afterLines="50" w:line="360" w:lineRule="auto"/>
        <w:ind w:firstLine="480" w:firstLineChars="200"/>
        <w:rPr>
          <w:rFonts w:cs="宋体" w:asciiTheme="majorEastAsia" w:hAnsiTheme="majorEastAsia" w:eastAsiaTheme="majorEastAsia"/>
        </w:rPr>
      </w:pPr>
      <w:bookmarkStart w:id="567" w:name="_Toc211780226"/>
      <w:bookmarkStart w:id="568" w:name="_Toc2146"/>
      <w:bookmarkStart w:id="569" w:name="_Toc11119"/>
      <w:bookmarkStart w:id="570" w:name="_Toc8908"/>
      <w:r>
        <w:rPr>
          <w:rFonts w:hint="eastAsia" w:cs="宋体" w:asciiTheme="majorEastAsia" w:hAnsiTheme="majorEastAsia" w:eastAsiaTheme="majorEastAsia"/>
        </w:rPr>
        <w:t>5.1.2电子商业汇票系统城市处理中心的处置</w:t>
      </w:r>
      <w:bookmarkEnd w:id="567"/>
      <w:bookmarkEnd w:id="568"/>
      <w:bookmarkEnd w:id="569"/>
      <w:bookmarkEnd w:id="57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电子商业汇票系统城市处理中心危机是指一个或者多个电子商业汇票系统城市处理中心或该中心下再贴现系统发生重大故障且严重影响业务正常办理。</w:t>
      </w:r>
    </w:p>
    <w:p>
      <w:pPr>
        <w:spacing w:after="156" w:afterLines="50" w:line="360" w:lineRule="auto"/>
        <w:ind w:firstLine="480" w:firstLineChars="200"/>
        <w:rPr>
          <w:rFonts w:cs="宋体" w:asciiTheme="majorEastAsia" w:hAnsiTheme="majorEastAsia" w:eastAsiaTheme="majorEastAsia"/>
        </w:rPr>
      </w:pPr>
      <w:bookmarkStart w:id="571" w:name="_Toc28750"/>
      <w:bookmarkStart w:id="572" w:name="_Toc4076"/>
      <w:bookmarkStart w:id="573" w:name="_Toc20265"/>
      <w:r>
        <w:rPr>
          <w:rFonts w:hint="eastAsia" w:cs="宋体" w:asciiTheme="majorEastAsia" w:hAnsiTheme="majorEastAsia" w:eastAsiaTheme="majorEastAsia"/>
        </w:rPr>
        <w:t>5.1.2.1电子商业汇票系统城市处理中心系统重大故障的处置</w:t>
      </w:r>
      <w:bookmarkEnd w:id="571"/>
      <w:bookmarkEnd w:id="572"/>
      <w:bookmarkEnd w:id="57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电子商业汇票系统城市处理中心危机的基本处置流程和方法如下。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（1）实施技术救治。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某一电子商业汇票系统城市处理中心发生重大故障后，上海票据交易所电子商业汇票系统技术部门应立即实施技术救治。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（2）业务应急处置。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某一电子商业汇票系统城市处理中心发生重大故障后，国家处理中心应在核心节点将该城市处理中心设置为“故障”状态，并使用“NPC和CCPC状态变更报文”通知所有的城市处理中心、各系统参与者。有效城市处理中心收到故障城市处理中心故障的通知后，会拒绝发往故障城市处理中心的业务，有效城市处理中心之间的业务不受影响，国家处理中心可以正常做日终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说明：若城市处理中心发生故障且无法在当日恢复正常，挂在故障城市处理中心下的系统参与者可能存在部分业务到达特定的到期日，会因故障日无法发起和接收业务而导致逾期，如果存在这样的业务，且当日一定要完成，接入点可以改挂到其他正常的城市处理中心。改变接入点与城市处理中心对应关系的报文接入点信息变更报文（062）。</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（3）系统恢复和业务恢复。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电子商业汇票系统城市处理中心应在故障排除后，通过NPC广播“NPC和CCPC状态变更报文”将故障城市处理中心调整到有效状态，验证基础数据和系统状态，并在验证无误后恢复系统运行。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电子商业汇票系统城市处理中心在下一个工作日之前恢复正常的，已恢复正常的城市处理中心可以继续办理相关业务，日终时发生故障的城市处理中心的下辖接入点需要与国家处理中心对账实现数据一致。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系统城市处理中心下一个工作日之后恢复正常的，通过国家处理中心广播“NPC和CCPC状态变更报文”将故障城市处理中心调整为有效状态。故障期间下发到该城市处理中心的系统控制类报文可以由城市处理中心自动处理，待城市处理中心处理成功后，故障城市处理中心会将故障期间的报文转发下辖接入点。对于个别未处理成功的报文，可以从国家处理中心手工补发，对于下辖接入点未收到的报文，可以在恢复为有效的城市处理中心向其转发。日终时，故障城市处理中心下辖各接入点需要与国家处理中心逐日对账，用以恢复故障日当日未处理的业务和故障期间因票据状态变更而下发的报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至此，故障城市处理中心恢复为正常状态，可以正常处理业务。</w:t>
      </w:r>
    </w:p>
    <w:p>
      <w:pPr>
        <w:spacing w:after="156" w:afterLines="50" w:line="360" w:lineRule="auto"/>
        <w:ind w:firstLine="480" w:firstLineChars="200"/>
        <w:rPr>
          <w:rFonts w:cs="宋体" w:asciiTheme="majorEastAsia" w:hAnsiTheme="majorEastAsia" w:eastAsiaTheme="majorEastAsia"/>
        </w:rPr>
      </w:pPr>
      <w:bookmarkStart w:id="574" w:name="_Toc16669"/>
      <w:bookmarkStart w:id="575" w:name="_Toc24508"/>
      <w:bookmarkStart w:id="576" w:name="_Toc7098"/>
      <w:r>
        <w:rPr>
          <w:rFonts w:hint="eastAsia" w:cs="宋体" w:asciiTheme="majorEastAsia" w:hAnsiTheme="majorEastAsia" w:eastAsiaTheme="majorEastAsia"/>
        </w:rPr>
        <w:t>5.1.2.2再贴现系统重大故障的处置</w:t>
      </w:r>
      <w:bookmarkEnd w:id="574"/>
      <w:bookmarkEnd w:id="575"/>
      <w:bookmarkEnd w:id="57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再贴现系统重大故障分为应用系统重大故障和数据库重大故障。再贴现系统应用系统重大故障是指因网络、计算机硬件、软件发生重大故障无法继续受理业务，数据库系统重大故障是指其业务数据和系统控制数据均遭到破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再贴现系统发生重大故障后的基本处置流程和方法如下。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（1）实施技术救治。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当再贴现系统发生应用系统重大故障或数据库重大故障时，上海票据交易所电子商业汇票系统技术部门应立即实施技术救治。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（2）应急业务处置。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再贴现系统发生重大故障的，上海票据交易所电子商业汇票系统场务部门应在核心节点将再贴现系统所在接入点设置为“禁止登录”状态，同时取消再贴现系统接入点下所有系统参与者的接收权限。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（3）数据恢复。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再贴现系统发生数据库重大故障的，上海票据交易所电子商业汇票系统技术和场务部门应在再贴现系统数据库系统救治完成并恢复故障发生日以前的数据后，以核心节点数据为准恢复系统故障期间丢失的业务数据。核心节点同时发生数据库故障的，原则上应在核心节点数据库系统恢复正常后，以核心节点数据为准恢复再贴现系统故障期间丢失的业务数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（4）系统恢复和业务恢复。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上海票据交易所电子商业汇票系统技术和场务部门应在再贴现系统故障排除后，在核心节点解除再贴现系统所在节点“禁止登录”状态，同时恢复再贴现系统接入点下所有系统参与者的接收权限；并在核对核心节点与再贴现系统业务数据后，恢复再贴现系统的运行。</w:t>
      </w:r>
    </w:p>
    <w:p>
      <w:pPr>
        <w:spacing w:after="156" w:afterLines="50" w:line="360" w:lineRule="auto"/>
        <w:ind w:firstLine="480" w:firstLineChars="200"/>
        <w:rPr>
          <w:rFonts w:cs="宋体" w:asciiTheme="majorEastAsia" w:hAnsiTheme="majorEastAsia" w:eastAsiaTheme="majorEastAsia"/>
        </w:rPr>
      </w:pPr>
      <w:bookmarkStart w:id="577" w:name="_Toc211780227"/>
      <w:bookmarkStart w:id="578" w:name="_Toc9654"/>
      <w:bookmarkStart w:id="579" w:name="_Toc9332"/>
      <w:bookmarkStart w:id="580" w:name="_Toc19226"/>
      <w:r>
        <w:rPr>
          <w:rFonts w:hint="eastAsia" w:cs="宋体" w:asciiTheme="majorEastAsia" w:hAnsiTheme="majorEastAsia" w:eastAsiaTheme="majorEastAsia"/>
        </w:rPr>
        <w:t>5.1.3前置机系统危机的处置</w:t>
      </w:r>
      <w:bookmarkEnd w:id="577"/>
      <w:bookmarkEnd w:id="578"/>
      <w:bookmarkEnd w:id="579"/>
      <w:bookmarkEnd w:id="58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前置机系统危机是指由于设备或线路发生重大故障，造成通过前置机系统接入的系统参与者无法正常办理业务且故障排除时间超过可容忍时间。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前置机系统危机的基本处置流程和方法如下。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（1）实施技术救治。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前置机系统危机发生后，危机所在系统参与者应组织实施技术救治，尽快恢复系统正常运行。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（2）业务应急处置。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在确认故障发生后，应尽可能早地将消息中间件断开，以保证发往该前置机的报文能够堵在队列中，而未被读出。待故障恢复时，可以继续处理。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（3）系统恢复和业务恢复。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前置机系统在故障排除后，应将日期恢复在故障日当日的日期，从城市处理中心导出基础数据，导入到前置机，经过验证无误后，可以恢复消息中间件的连接，开始处理故障期间的业务。故障处理完成后，可以通过每月票据信息核对或到国家处理中心做磁盘文件导出功能实现将国家处理中心的数据恢复到前置机，以达到票据业务的一致。</w:t>
      </w:r>
    </w:p>
    <w:p>
      <w:pPr>
        <w:spacing w:after="156" w:afterLines="50" w:line="360" w:lineRule="auto"/>
        <w:ind w:firstLine="480" w:firstLineChars="200"/>
        <w:rPr>
          <w:rFonts w:cs="宋体" w:asciiTheme="majorEastAsia" w:hAnsiTheme="majorEastAsia" w:eastAsiaTheme="majorEastAsia"/>
        </w:rPr>
      </w:pPr>
      <w:bookmarkStart w:id="581" w:name="_Toc12412"/>
      <w:bookmarkStart w:id="582" w:name="_Toc385"/>
      <w:bookmarkStart w:id="583" w:name="_Toc211780228"/>
      <w:bookmarkStart w:id="584" w:name="_Toc280"/>
      <w:r>
        <w:rPr>
          <w:rFonts w:hint="eastAsia" w:cs="宋体" w:asciiTheme="majorEastAsia" w:hAnsiTheme="majorEastAsia" w:eastAsiaTheme="majorEastAsia"/>
        </w:rPr>
        <w:t>5.1.4系统参与者重大故障的处置</w:t>
      </w:r>
      <w:bookmarkEnd w:id="581"/>
      <w:bookmarkEnd w:id="582"/>
      <w:bookmarkEnd w:id="583"/>
      <w:bookmarkEnd w:id="58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系统参与者发生重大故障的基本处置流程和方法如下。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（1）实施技术救治。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系统参与者发生重大故障后，应立即实施技术救治。需要上海票据交易所协助的，应及时提出请求。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（2）业务应急处置。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系统参与者发生重大故障的，上海票据交易所电子商业汇票系统场务部门应在核心节点将系统参与者所在接入点设置为“禁止登录”状态，同时取消在该接入点下所有系统参与者的接收权限。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（3）系统恢复和业务恢复。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上海票据交易所电子商业汇票系统技术和场务部门应在系统参与者系统故障排除后，在核心节点解除系统参与者所在节点“禁止登录”状态，同时恢复系统参与者所在接入点下所有系统参与者的接收权限；并在核对核心节点与再贴现系统业务数据后，恢复再贴现运行。如果业务数据完全丢失，可以从国家处理中心导出所有票据数据到行内进行数据恢复。</w:t>
      </w:r>
    </w:p>
    <w:p>
      <w:pPr>
        <w:spacing w:after="156" w:afterLines="50" w:line="360" w:lineRule="auto"/>
        <w:ind w:firstLine="480" w:firstLineChars="200"/>
        <w:rPr>
          <w:rFonts w:cs="宋体" w:asciiTheme="majorEastAsia" w:hAnsiTheme="majorEastAsia" w:eastAsiaTheme="majorEastAsia"/>
        </w:rPr>
      </w:pPr>
      <w:bookmarkStart w:id="585" w:name="_Toc5083"/>
      <w:bookmarkStart w:id="586" w:name="_Toc21166"/>
      <w:bookmarkStart w:id="587" w:name="_Toc24317"/>
      <w:bookmarkStart w:id="588" w:name="_Toc211780229"/>
      <w:r>
        <w:rPr>
          <w:rFonts w:hint="eastAsia" w:cs="宋体" w:asciiTheme="majorEastAsia" w:hAnsiTheme="majorEastAsia" w:eastAsiaTheme="majorEastAsia"/>
        </w:rPr>
        <w:t>5.1.5突发公共卫生事件和社会安全事件应急处置</w:t>
      </w:r>
      <w:bookmarkEnd w:id="585"/>
      <w:bookmarkEnd w:id="586"/>
      <w:bookmarkEnd w:id="587"/>
      <w:bookmarkEnd w:id="588"/>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上海票据交易所和系统参与者应科学合理地配置人力资源，防范突发公共卫生事件和社会安全事件对电子商业汇票系统各岗位的操作限制。电子商业汇票系统国家处理中心、城市处理中心要针对突发公共卫生事件和社会安全事件的特点，结合自身实际，制定详细的电子商业汇票系统应急处置预案。</w:t>
      </w:r>
      <w:bookmarkEnd w:id="558"/>
      <w:bookmarkEnd w:id="559"/>
    </w:p>
    <w:p>
      <w:pPr>
        <w:spacing w:after="156" w:afterLines="50" w:line="360" w:lineRule="auto"/>
        <w:ind w:firstLine="480" w:firstLineChars="200"/>
        <w:rPr>
          <w:rFonts w:cs="宋体" w:asciiTheme="majorEastAsia" w:hAnsiTheme="majorEastAsia" w:eastAsiaTheme="majorEastAsia"/>
        </w:rPr>
      </w:pPr>
      <w:bookmarkStart w:id="589" w:name="_Toc29368"/>
      <w:bookmarkStart w:id="590" w:name="_Toc211780230"/>
      <w:bookmarkStart w:id="591" w:name="_Toc29932"/>
      <w:bookmarkStart w:id="592" w:name="_Toc30768"/>
      <w:r>
        <w:rPr>
          <w:rFonts w:hint="eastAsia" w:cs="宋体" w:asciiTheme="majorEastAsia" w:hAnsiTheme="majorEastAsia" w:eastAsiaTheme="majorEastAsia"/>
        </w:rPr>
        <w:t>5.2评估与改进</w:t>
      </w:r>
      <w:bookmarkEnd w:id="589"/>
      <w:bookmarkEnd w:id="590"/>
      <w:bookmarkEnd w:id="591"/>
      <w:bookmarkEnd w:id="59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危机处置结束后，上海票据交易所领导小组办公室应当对危机处置预案进行评估和改进。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（1）组织有关单位和部门对电子商业汇票系统危机发生的原因进行认真分析。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（2）对电子商业汇票系统危机处置的具体情况进行评估、汇总。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（3）对电子商业汇票系统危机处置的经验和教训进行总结，提出科学、合理的改进措施。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（4）对电子商业汇票系统危机处置预案进行补充完善，提高预案的科学性、预见性和可操作性。</w:t>
      </w:r>
    </w:p>
    <w:p>
      <w:pPr>
        <w:spacing w:after="156" w:afterLines="50" w:line="360" w:lineRule="auto"/>
        <w:ind w:firstLine="480" w:firstLineChars="200"/>
        <w:rPr>
          <w:rFonts w:cs="宋体" w:asciiTheme="majorEastAsia" w:hAnsiTheme="majorEastAsia" w:eastAsiaTheme="majorEastAsia"/>
        </w:rPr>
      </w:pPr>
      <w:bookmarkStart w:id="593" w:name="_Toc211780231"/>
      <w:r>
        <w:rPr>
          <w:rFonts w:hint="eastAsia" w:cs="宋体" w:asciiTheme="majorEastAsia" w:hAnsiTheme="majorEastAsia" w:eastAsiaTheme="majorEastAsia"/>
        </w:rPr>
        <w:t>6应急保障</w:t>
      </w:r>
      <w:bookmarkEnd w:id="593"/>
    </w:p>
    <w:p>
      <w:pPr>
        <w:spacing w:after="156" w:afterLines="50" w:line="360" w:lineRule="auto"/>
        <w:ind w:firstLine="480" w:firstLineChars="200"/>
        <w:rPr>
          <w:rFonts w:cs="宋体" w:asciiTheme="majorEastAsia" w:hAnsiTheme="majorEastAsia" w:eastAsiaTheme="majorEastAsia"/>
        </w:rPr>
      </w:pPr>
      <w:bookmarkStart w:id="594" w:name="_Toc211780232"/>
      <w:bookmarkStart w:id="595" w:name="_Toc7441"/>
      <w:bookmarkStart w:id="596" w:name="_Toc13352"/>
      <w:bookmarkStart w:id="597" w:name="_Toc19166"/>
      <w:r>
        <w:rPr>
          <w:rFonts w:hint="eastAsia" w:cs="宋体" w:asciiTheme="majorEastAsia" w:hAnsiTheme="majorEastAsia" w:eastAsiaTheme="majorEastAsia"/>
        </w:rPr>
        <w:t>6.1人员保障</w:t>
      </w:r>
      <w:bookmarkEnd w:id="594"/>
      <w:bookmarkEnd w:id="595"/>
      <w:bookmarkEnd w:id="596"/>
      <w:bookmarkEnd w:id="59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电子商业汇票系统的关键业务及技术岗位应有备份人员，实行AB角制度。电子商业汇票系统危机发生后，采取必要预防措施，为系统关键岗位人员提供必需的工作、生活条件，确保其人生安全。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确保系统参与者领导小组和办公室成员联系方式真实有效。</w:t>
      </w:r>
    </w:p>
    <w:p>
      <w:pPr>
        <w:spacing w:after="156" w:afterLines="50" w:line="360" w:lineRule="auto"/>
        <w:ind w:firstLine="480" w:firstLineChars="200"/>
        <w:rPr>
          <w:rFonts w:cs="宋体" w:asciiTheme="majorEastAsia" w:hAnsiTheme="majorEastAsia" w:eastAsiaTheme="majorEastAsia"/>
        </w:rPr>
      </w:pPr>
      <w:bookmarkStart w:id="598" w:name="_Toc962"/>
      <w:bookmarkStart w:id="599" w:name="_Toc4785"/>
      <w:bookmarkStart w:id="600" w:name="_Toc28452"/>
      <w:bookmarkStart w:id="601" w:name="_Toc211780233"/>
      <w:r>
        <w:rPr>
          <w:rFonts w:hint="eastAsia" w:cs="宋体" w:asciiTheme="majorEastAsia" w:hAnsiTheme="majorEastAsia" w:eastAsiaTheme="majorEastAsia"/>
        </w:rPr>
        <w:t>6.2制度保障</w:t>
      </w:r>
      <w:bookmarkEnd w:id="598"/>
      <w:bookmarkEnd w:id="599"/>
      <w:bookmarkEnd w:id="600"/>
      <w:bookmarkEnd w:id="601"/>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系统参与者应根据本预案的规定，制订本单位的电子商业汇票系统危机处置预案，建立健全危机处置内部控制制度，防范和控制操作风险，确保资金安全。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系统参与者应以法人为单位将本单位电子商业汇票系统危机处置预案报送上海票据交易所备案。</w:t>
      </w:r>
    </w:p>
    <w:p>
      <w:pPr>
        <w:spacing w:after="156" w:afterLines="50" w:line="360" w:lineRule="auto"/>
        <w:ind w:firstLine="480" w:firstLineChars="200"/>
        <w:rPr>
          <w:rFonts w:cs="宋体" w:asciiTheme="majorEastAsia" w:hAnsiTheme="majorEastAsia" w:eastAsiaTheme="majorEastAsia"/>
        </w:rPr>
      </w:pPr>
      <w:bookmarkStart w:id="602" w:name="_Toc211780234"/>
      <w:r>
        <w:rPr>
          <w:rFonts w:hint="eastAsia" w:cs="宋体" w:asciiTheme="majorEastAsia" w:hAnsiTheme="majorEastAsia" w:eastAsiaTheme="majorEastAsia"/>
        </w:rPr>
        <w:t>7预案培训与演练</w:t>
      </w:r>
      <w:bookmarkEnd w:id="602"/>
    </w:p>
    <w:p>
      <w:pPr>
        <w:spacing w:after="156" w:afterLines="50" w:line="360" w:lineRule="auto"/>
        <w:ind w:firstLine="480" w:firstLineChars="200"/>
        <w:rPr>
          <w:rFonts w:cs="宋体" w:asciiTheme="majorEastAsia" w:hAnsiTheme="majorEastAsia" w:eastAsiaTheme="majorEastAsia"/>
        </w:rPr>
      </w:pPr>
      <w:bookmarkStart w:id="603" w:name="_Toc27542"/>
      <w:bookmarkStart w:id="604" w:name="_Toc21444"/>
      <w:bookmarkStart w:id="605" w:name="_Toc211780235"/>
      <w:bookmarkStart w:id="606" w:name="_Toc12153"/>
      <w:r>
        <w:rPr>
          <w:rFonts w:hint="eastAsia" w:cs="宋体" w:asciiTheme="majorEastAsia" w:hAnsiTheme="majorEastAsia" w:eastAsiaTheme="majorEastAsia"/>
        </w:rPr>
        <w:t>7.1预案培训</w:t>
      </w:r>
      <w:bookmarkEnd w:id="603"/>
      <w:bookmarkEnd w:id="604"/>
      <w:bookmarkEnd w:id="605"/>
      <w:bookmarkEnd w:id="60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上海票据交易所统一组织电子商业汇票系统危机处置培训工作。</w:t>
      </w:r>
    </w:p>
    <w:p>
      <w:pPr>
        <w:spacing w:after="156" w:afterLines="50" w:line="360" w:lineRule="auto"/>
        <w:ind w:firstLine="480" w:firstLineChars="200"/>
        <w:rPr>
          <w:rFonts w:cs="宋体" w:asciiTheme="majorEastAsia" w:hAnsiTheme="majorEastAsia" w:eastAsiaTheme="majorEastAsia"/>
        </w:rPr>
      </w:pPr>
      <w:bookmarkStart w:id="607" w:name="_Toc211780236"/>
      <w:bookmarkStart w:id="608" w:name="_Toc27344"/>
      <w:bookmarkStart w:id="609" w:name="_Toc16380"/>
      <w:bookmarkStart w:id="610" w:name="_Toc21871"/>
      <w:r>
        <w:rPr>
          <w:rFonts w:hint="eastAsia" w:cs="宋体" w:asciiTheme="majorEastAsia" w:hAnsiTheme="majorEastAsia" w:eastAsiaTheme="majorEastAsia"/>
        </w:rPr>
        <w:t>7.2预案演练</w:t>
      </w:r>
      <w:bookmarkEnd w:id="607"/>
      <w:bookmarkEnd w:id="608"/>
      <w:bookmarkEnd w:id="609"/>
      <w:bookmarkEnd w:id="61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上海票据交易所不定期组织电子商业汇票系统危机处置预案的演练。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系统参与者应当根据实际情况，采取培训、模拟等形式对电子商业汇票系统危机处置预案相关内容进行演练。</w:t>
      </w:r>
    </w:p>
    <w:p>
      <w:pPr>
        <w:spacing w:after="156" w:afterLines="50" w:line="360" w:lineRule="auto"/>
        <w:ind w:firstLine="480" w:firstLineChars="200"/>
        <w:rPr>
          <w:rFonts w:cs="宋体" w:asciiTheme="majorEastAsia" w:hAnsiTheme="majorEastAsia" w:eastAsiaTheme="majorEastAsia"/>
        </w:rPr>
      </w:pPr>
      <w:bookmarkStart w:id="611" w:name="_Toc211780237"/>
      <w:r>
        <w:rPr>
          <w:rFonts w:hint="eastAsia" w:cs="宋体" w:asciiTheme="majorEastAsia" w:hAnsiTheme="majorEastAsia" w:eastAsiaTheme="majorEastAsia"/>
        </w:rPr>
        <w:t>8附则</w:t>
      </w:r>
      <w:bookmarkEnd w:id="611"/>
    </w:p>
    <w:p>
      <w:pPr>
        <w:spacing w:after="156" w:afterLines="50" w:line="360" w:lineRule="auto"/>
        <w:ind w:firstLine="480" w:firstLineChars="200"/>
        <w:rPr>
          <w:rFonts w:cs="宋体" w:asciiTheme="majorEastAsia" w:hAnsiTheme="majorEastAsia" w:eastAsiaTheme="majorEastAsia"/>
        </w:rPr>
      </w:pPr>
      <w:bookmarkStart w:id="612" w:name="_Toc211780238"/>
      <w:bookmarkStart w:id="613" w:name="_Toc5783"/>
      <w:bookmarkStart w:id="614" w:name="_Toc5371"/>
      <w:bookmarkStart w:id="615" w:name="_Toc15913"/>
      <w:r>
        <w:rPr>
          <w:rFonts w:hint="eastAsia" w:cs="宋体" w:asciiTheme="majorEastAsia" w:hAnsiTheme="majorEastAsia" w:eastAsiaTheme="majorEastAsia"/>
        </w:rPr>
        <w:t>8.1信息发布</w:t>
      </w:r>
      <w:bookmarkEnd w:id="612"/>
      <w:bookmarkEnd w:id="613"/>
      <w:bookmarkEnd w:id="614"/>
      <w:bookmarkEnd w:id="61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电子商业汇票系统国家处理中心、城市处理中心发生危机，应由上海票据交易所领导小组统一发布有关信息。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系统参与者因内部有关系统出现故障无法正常办理业务，可发布与其自身相关的信息。</w:t>
      </w:r>
    </w:p>
    <w:p>
      <w:pPr>
        <w:spacing w:after="156" w:afterLines="50" w:line="360" w:lineRule="auto"/>
        <w:ind w:firstLine="480" w:firstLineChars="200"/>
        <w:rPr>
          <w:rFonts w:cs="宋体" w:asciiTheme="majorEastAsia" w:hAnsiTheme="majorEastAsia" w:eastAsiaTheme="majorEastAsia"/>
        </w:rPr>
      </w:pPr>
      <w:bookmarkStart w:id="616" w:name="_Toc12894"/>
      <w:bookmarkStart w:id="617" w:name="_Toc211780239"/>
      <w:bookmarkStart w:id="618" w:name="_Toc4378"/>
      <w:bookmarkStart w:id="619" w:name="_Toc16750"/>
      <w:r>
        <w:rPr>
          <w:rFonts w:hint="eastAsia" w:cs="宋体" w:asciiTheme="majorEastAsia" w:hAnsiTheme="majorEastAsia" w:eastAsiaTheme="majorEastAsia"/>
        </w:rPr>
        <w:t>8.2预案的管理与完善</w:t>
      </w:r>
      <w:bookmarkEnd w:id="616"/>
      <w:bookmarkEnd w:id="617"/>
      <w:bookmarkEnd w:id="618"/>
      <w:bookmarkEnd w:id="619"/>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本预案由中国人民银行负责解释，上海票据交易所组织实施。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中国人民银行根据电子商业汇票系统的建设和发展情况，按照加强系统管理、防范系统风险的要求，不断修改完善本预案。</w:t>
      </w:r>
    </w:p>
    <w:p>
      <w:pPr>
        <w:spacing w:after="156" w:afterLines="50" w:line="360" w:lineRule="auto"/>
        <w:ind w:firstLine="480" w:firstLineChars="200"/>
        <w:rPr>
          <w:rFonts w:cs="宋体" w:asciiTheme="majorEastAsia" w:hAnsiTheme="majorEastAsia" w:eastAsiaTheme="majorEastAsia"/>
        </w:rPr>
      </w:pPr>
      <w:bookmarkStart w:id="620" w:name="_Toc211780240"/>
      <w:bookmarkStart w:id="621" w:name="_Toc20485"/>
      <w:bookmarkStart w:id="622" w:name="_Toc5717"/>
      <w:bookmarkStart w:id="623" w:name="_Toc29586"/>
      <w:r>
        <w:rPr>
          <w:rFonts w:hint="eastAsia" w:cs="宋体" w:asciiTheme="majorEastAsia" w:hAnsiTheme="majorEastAsia" w:eastAsiaTheme="majorEastAsia"/>
        </w:rPr>
        <w:t>8.3预案实施</w:t>
      </w:r>
      <w:bookmarkEnd w:id="620"/>
      <w:bookmarkEnd w:id="621"/>
      <w:bookmarkEnd w:id="622"/>
      <w:bookmarkEnd w:id="62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本预案自印发之日起施行。</w:t>
      </w:r>
    </w:p>
    <w:p>
      <w:pPr>
        <w:spacing w:after="156" w:afterLines="50" w:line="360" w:lineRule="auto"/>
        <w:ind w:firstLine="482" w:firstLineChars="200"/>
        <w:rPr>
          <w:rFonts w:asciiTheme="majorEastAsia" w:hAnsiTheme="majorEastAsia" w:eastAsiaTheme="majorEastAsia"/>
          <w:b/>
          <w:kern w:val="2"/>
        </w:rPr>
        <w:sectPr>
          <w:headerReference r:id="rId5" w:type="default"/>
          <w:footerReference r:id="rId6" w:type="default"/>
          <w:endnotePr>
            <w:numFmt w:val="decimal"/>
          </w:endnotePr>
          <w:pgSz w:w="11906" w:h="16838"/>
          <w:pgMar w:top="1440" w:right="1800" w:bottom="1440" w:left="1800" w:header="851" w:footer="992" w:gutter="0"/>
          <w:cols w:space="720" w:num="1"/>
          <w:docGrid w:type="lines" w:linePitch="312" w:charSpace="0"/>
        </w:sectPr>
      </w:pPr>
    </w:p>
    <w:p>
      <w:pPr>
        <w:pStyle w:val="2"/>
        <w:numPr>
          <w:ilvl w:val="0"/>
          <w:numId w:val="0"/>
        </w:numPr>
        <w:ind w:left="922" w:leftChars="0" w:hanging="440" w:firstLineChars="0"/>
      </w:pPr>
      <w:bookmarkStart w:id="624" w:name="_Toc15311"/>
      <w:r>
        <w:rPr>
          <w:rFonts w:cs="宋体" w:asciiTheme="majorEastAsia" w:hAnsiTheme="majorEastAsia" w:eastAsiaTheme="majorEastAsia"/>
          <w:b/>
          <w:bCs/>
          <w:sz w:val="24"/>
          <w:szCs w:val="24"/>
          <w:lang w:val="en-US" w:eastAsia="zh-CN" w:bidi="ar-SA"/>
        </w:rPr>
        <w:t>99.</w:t>
      </w:r>
      <w:r>
        <w:rPr>
          <w:rFonts w:hint="eastAsia"/>
        </w:rPr>
        <w:t>《中国银保监会办公厅关于进一步做好信贷工作、提升服务实体经济质效的通知》</w:t>
      </w:r>
      <w:bookmarkEnd w:id="624"/>
    </w:p>
    <w:p>
      <w:pPr>
        <w:spacing w:after="156" w:afterLines="50" w:line="360" w:lineRule="auto"/>
        <w:ind w:firstLine="480" w:firstLineChars="200"/>
        <w:rPr>
          <w:rFonts w:cs="宋体" w:asciiTheme="majorEastAsia" w:hAnsiTheme="majorEastAsia" w:eastAsiaTheme="majorEastAsia"/>
          <w:bCs/>
          <w:kern w:val="2"/>
        </w:rPr>
      </w:pPr>
      <w:r>
        <w:rPr>
          <w:rFonts w:hint="eastAsia" w:cs="宋体" w:asciiTheme="majorEastAsia" w:hAnsiTheme="majorEastAsia" w:eastAsiaTheme="majorEastAsia"/>
          <w:bCs/>
          <w:kern w:val="2"/>
        </w:rPr>
        <w:t>发文机构：中国银行保险监督管理委员会(已撤销)</w:t>
      </w:r>
      <w:r>
        <w:rPr>
          <w:rFonts w:hint="eastAsia" w:cs="宋体" w:asciiTheme="majorEastAsia" w:hAnsiTheme="majorEastAsia" w:eastAsiaTheme="majorEastAsia"/>
          <w:bCs/>
          <w:kern w:val="2"/>
        </w:rPr>
        <w:tab/>
      </w:r>
    </w:p>
    <w:p>
      <w:pPr>
        <w:spacing w:after="156" w:afterLines="50" w:line="360" w:lineRule="auto"/>
        <w:ind w:firstLine="480" w:firstLineChars="200"/>
        <w:rPr>
          <w:rFonts w:cs="宋体" w:asciiTheme="majorEastAsia" w:hAnsiTheme="majorEastAsia" w:eastAsiaTheme="majorEastAsia"/>
          <w:bCs/>
          <w:kern w:val="2"/>
        </w:rPr>
      </w:pPr>
      <w:r>
        <w:rPr>
          <w:rFonts w:hint="eastAsia" w:cs="宋体" w:asciiTheme="majorEastAsia" w:hAnsiTheme="majorEastAsia" w:eastAsiaTheme="majorEastAsia"/>
          <w:bCs/>
          <w:kern w:val="2"/>
        </w:rPr>
        <w:t>文号：银保监办发〔2018〕76号</w:t>
      </w:r>
    </w:p>
    <w:p>
      <w:pPr>
        <w:spacing w:after="156" w:afterLines="50" w:line="360" w:lineRule="auto"/>
        <w:ind w:firstLine="480" w:firstLineChars="200"/>
        <w:rPr>
          <w:rFonts w:cs="宋体" w:asciiTheme="majorEastAsia" w:hAnsiTheme="majorEastAsia" w:eastAsiaTheme="majorEastAsia"/>
          <w:bCs/>
          <w:kern w:val="2"/>
        </w:rPr>
      </w:pPr>
      <w:r>
        <w:rPr>
          <w:rFonts w:hint="eastAsia" w:cs="宋体" w:asciiTheme="majorEastAsia" w:hAnsiTheme="majorEastAsia" w:eastAsiaTheme="majorEastAsia"/>
          <w:bCs/>
          <w:kern w:val="2"/>
        </w:rPr>
        <w:t>各银监局，各保监局，各政策性银行、大型银行、股份制银行，邮储银行，金融资产管理公司，各保险集团（控股）公司、保险公司、保险资产管理公司、保险专业中介机构：</w:t>
      </w:r>
    </w:p>
    <w:p>
      <w:pPr>
        <w:spacing w:after="156" w:afterLines="50" w:line="360" w:lineRule="auto"/>
        <w:ind w:firstLine="480" w:firstLineChars="200"/>
        <w:rPr>
          <w:rFonts w:cs="宋体" w:asciiTheme="majorEastAsia" w:hAnsiTheme="majorEastAsia" w:eastAsiaTheme="majorEastAsia"/>
          <w:bCs/>
          <w:kern w:val="2"/>
        </w:rPr>
      </w:pPr>
      <w:r>
        <w:rPr>
          <w:rFonts w:hint="eastAsia" w:cs="宋体" w:asciiTheme="majorEastAsia" w:hAnsiTheme="majorEastAsia" w:eastAsiaTheme="majorEastAsia"/>
          <w:bCs/>
          <w:kern w:val="2"/>
        </w:rPr>
        <w:t>为深入贯彻党中央、国务院决策部署，把防范化解金融风险和服务实体经济更好结合起来，在坚决打好防范化解金融风险攻坚战的同时，必须着力疏通货币信贷传导机制，提升金融服务实体经济质效，推动稳就业、稳金融、稳外贸、稳外资、稳投资、稳预期，实现金融与实体经济良性循环。现就有关要求通知如下：</w:t>
      </w:r>
    </w:p>
    <w:p>
      <w:pPr>
        <w:spacing w:after="156" w:afterLines="50" w:line="360" w:lineRule="auto"/>
        <w:ind w:firstLine="480" w:firstLineChars="200"/>
        <w:rPr>
          <w:rFonts w:cs="宋体" w:asciiTheme="majorEastAsia" w:hAnsiTheme="majorEastAsia" w:eastAsiaTheme="majorEastAsia"/>
          <w:bCs/>
          <w:kern w:val="2"/>
        </w:rPr>
      </w:pPr>
      <w:r>
        <w:rPr>
          <w:rFonts w:hint="eastAsia" w:cs="宋体" w:asciiTheme="majorEastAsia" w:hAnsiTheme="majorEastAsia" w:eastAsiaTheme="majorEastAsia"/>
          <w:bCs/>
          <w:kern w:val="2"/>
        </w:rPr>
        <w:t>一 、进一步疏通货币政策传导机制，满足实体经济有效融资需求。根据企业生产、建设、销售的周期和行业特征，合理确定贷款期限、还款方式，适当提高中长期贷款比例，合理确定考核指标，避免贷款在同一时间特别是月末、季末集中到期而引发企业资金紧张。对符合授信条件但遇到暂时经营困难的企业，要继续予以资金支持，不应盲目抽贷、断贷。对成长型先进制造业企业，要丰富合格押品种类，创新担保和融资方式，合理确定抵质押率，在资金供给、贷款利率方面给予适当倾斜。</w:t>
      </w:r>
    </w:p>
    <w:p>
      <w:pPr>
        <w:spacing w:after="156" w:afterLines="50" w:line="360" w:lineRule="auto"/>
        <w:ind w:firstLine="480" w:firstLineChars="200"/>
        <w:rPr>
          <w:rFonts w:cs="宋体" w:asciiTheme="majorEastAsia" w:hAnsiTheme="majorEastAsia" w:eastAsiaTheme="majorEastAsia"/>
          <w:bCs/>
          <w:kern w:val="2"/>
        </w:rPr>
      </w:pPr>
      <w:r>
        <w:rPr>
          <w:rFonts w:hint="eastAsia" w:cs="宋体" w:asciiTheme="majorEastAsia" w:hAnsiTheme="majorEastAsia" w:eastAsiaTheme="majorEastAsia"/>
          <w:bCs/>
          <w:kern w:val="2"/>
        </w:rPr>
        <w:t>二 、大力发展普惠金融，强化小微企业、“三农”、民营企业等领域金融服务。充分利用当前市场流动性宽裕、银行业和保险业盈利稳定等有利条件，坚持“保本微利”原则，加大对小微企业、“三农”、扶贫和民营企业等领域的资金支持，降低融资成本。对于流动资金贷款到期后仍有融资需求的小微企业，要提前开展贷款调查与评审，符合标准和条件的，依照程序办理续贷，缩短资金接续间隔，降低贷款周转成本。对于主业突出、公司治理良好、负债率较低、风控能力较强的龙头民营企业，要进一步加大融资支持，充分发挥其行业带动作用，稳定上下游企业生产经营。鼓励信托公司开展慈善信托业务，加大对扶贫、教育、留守儿童等领域的支持。</w:t>
      </w:r>
    </w:p>
    <w:p>
      <w:pPr>
        <w:spacing w:after="156" w:afterLines="50" w:line="360" w:lineRule="auto"/>
        <w:ind w:firstLine="480" w:firstLineChars="200"/>
        <w:rPr>
          <w:rFonts w:cs="宋体" w:asciiTheme="majorEastAsia" w:hAnsiTheme="majorEastAsia" w:eastAsiaTheme="majorEastAsia"/>
          <w:bCs/>
          <w:kern w:val="2"/>
        </w:rPr>
      </w:pPr>
      <w:r>
        <w:rPr>
          <w:rFonts w:hint="eastAsia" w:cs="宋体" w:asciiTheme="majorEastAsia" w:hAnsiTheme="majorEastAsia" w:eastAsiaTheme="majorEastAsia"/>
          <w:bCs/>
          <w:kern w:val="2"/>
        </w:rPr>
        <w:t>三 、支持基础设施领域补短板，推动有效投资稳定增长。在不增加地方政府隐性债务的前提下，加大对资本金到位、运作规范的基础设施补短板项目的信贷投放。保险资金要发挥长期投资优势，通过债权、股权、股债结合、基金等多种形式，积极服务国家重大战略、重点工程和重要项目。积极配合地方政府对在建基础设施项目的建设情况和融资需求进行调查分析，按照市场化原则满足融资平台公司的合理融资需求，对必要的在建项目要避免资金断供、工程烂尾。</w:t>
      </w:r>
    </w:p>
    <w:p>
      <w:pPr>
        <w:spacing w:after="156" w:afterLines="50" w:line="360" w:lineRule="auto"/>
        <w:ind w:firstLine="480" w:firstLineChars="200"/>
        <w:rPr>
          <w:rFonts w:cs="宋体" w:asciiTheme="majorEastAsia" w:hAnsiTheme="majorEastAsia" w:eastAsiaTheme="majorEastAsia"/>
          <w:bCs/>
          <w:kern w:val="2"/>
        </w:rPr>
      </w:pPr>
      <w:r>
        <w:rPr>
          <w:rFonts w:hint="eastAsia" w:cs="宋体" w:asciiTheme="majorEastAsia" w:hAnsiTheme="majorEastAsia" w:eastAsiaTheme="majorEastAsia"/>
          <w:bCs/>
          <w:kern w:val="2"/>
        </w:rPr>
        <w:t>四 、积极发展消费金融，增强消费对经济的拉动作用。适应多样化多层次消费需求，提供和改进差异化金融产品与服务。支持发展消费信贷，满足人民群众日益增长的美好生活需要。创新金融服务方式，积极满足旅游、教育、文化、健康、养老等升级型消费的金融需求。</w:t>
      </w:r>
    </w:p>
    <w:p>
      <w:pPr>
        <w:spacing w:after="156" w:afterLines="50" w:line="360" w:lineRule="auto"/>
        <w:ind w:firstLine="480" w:firstLineChars="200"/>
        <w:rPr>
          <w:rFonts w:cs="宋体" w:asciiTheme="majorEastAsia" w:hAnsiTheme="majorEastAsia" w:eastAsiaTheme="majorEastAsia"/>
          <w:bCs/>
          <w:kern w:val="2"/>
        </w:rPr>
      </w:pPr>
      <w:r>
        <w:rPr>
          <w:rFonts w:hint="eastAsia" w:cs="宋体" w:asciiTheme="majorEastAsia" w:hAnsiTheme="majorEastAsia" w:eastAsiaTheme="majorEastAsia"/>
          <w:bCs/>
          <w:kern w:val="2"/>
        </w:rPr>
        <w:t>五 、做好进出口企业金融服务，发挥金融在稳外贸中的积极作用。联合地方政府、行业协会调查摸底出口导向型企业情况，对受国际市场冲击较大、遇到暂时困难但仍有发展前景的重点优质企业，在资金安排上予以适当倾斜。加强与外贸企业、信用保险机构、融资担保机构和地方政府的合作，扩大出口信用保险保单和出口退税账户质押融资。统筹境内外金融资源，发挥合力，满足进出口企业跨市场金融服务需求。</w:t>
      </w:r>
    </w:p>
    <w:p>
      <w:pPr>
        <w:spacing w:after="156" w:afterLines="50" w:line="360" w:lineRule="auto"/>
        <w:ind w:firstLine="480" w:firstLineChars="200"/>
        <w:rPr>
          <w:rFonts w:cs="宋体" w:asciiTheme="majorEastAsia" w:hAnsiTheme="majorEastAsia" w:eastAsiaTheme="majorEastAsia"/>
          <w:bCs/>
          <w:kern w:val="2"/>
        </w:rPr>
      </w:pPr>
      <w:r>
        <w:rPr>
          <w:rFonts w:hint="eastAsia" w:cs="宋体" w:asciiTheme="majorEastAsia" w:hAnsiTheme="majorEastAsia" w:eastAsiaTheme="majorEastAsia"/>
          <w:bCs/>
          <w:kern w:val="2"/>
        </w:rPr>
        <w:t>六 、盘活存量资产，提高资金使用效率。加快推动“僵尸企业”出清，释放转移沉淀在限控领域和低效项目的存量资金，腾出信贷空间，投向支持类领域和项目。积极运用资产证券化、信贷资产转让等方式，盘活存量资产，提高资金配置和使用效率。充分利用拨备充足的有利条件，在严格资产分类基础上，综合运用核销、现金清收、批量转让等方式，加大不良贷款处置力度，严禁隐匿隐瞒不良贷款，严查不良资产虚假出表、虚假转让等违规行为。鼓励商业银行、金融资产投资公司、金融资产管理公司、信托公司、保险机构等积极参与市场化法治化债转股，推动已签约项目尽快落地。</w:t>
      </w:r>
    </w:p>
    <w:p>
      <w:pPr>
        <w:spacing w:after="156" w:afterLines="50" w:line="360" w:lineRule="auto"/>
        <w:ind w:firstLine="480" w:firstLineChars="200"/>
        <w:rPr>
          <w:rFonts w:cs="宋体" w:asciiTheme="majorEastAsia" w:hAnsiTheme="majorEastAsia" w:eastAsiaTheme="majorEastAsia"/>
          <w:bCs/>
          <w:kern w:val="2"/>
        </w:rPr>
      </w:pPr>
      <w:r>
        <w:rPr>
          <w:rFonts w:hint="eastAsia" w:cs="宋体" w:asciiTheme="majorEastAsia" w:hAnsiTheme="majorEastAsia" w:eastAsiaTheme="majorEastAsia"/>
          <w:bCs/>
          <w:kern w:val="2"/>
        </w:rPr>
        <w:t>七 、有效运用保险资金，切实发挥风险管理和保障功能。深化保险资金运用在投资范围、比例、偿付能力等方面的改革，进一步缩短投资链条，降低投资成本，提高投资效率。发挥保险业风险管理和保障功能，不断丰富财产保险、人身保险等产品和业务模式，改进保险服务，稳定企业和居民财务预期。</w:t>
      </w:r>
    </w:p>
    <w:p>
      <w:pPr>
        <w:spacing w:after="156" w:afterLines="50" w:line="360" w:lineRule="auto"/>
        <w:ind w:firstLine="480" w:firstLineChars="200"/>
        <w:rPr>
          <w:rFonts w:cs="宋体" w:asciiTheme="majorEastAsia" w:hAnsiTheme="majorEastAsia" w:eastAsiaTheme="majorEastAsia"/>
          <w:bCs/>
          <w:kern w:val="2"/>
        </w:rPr>
      </w:pPr>
      <w:r>
        <w:rPr>
          <w:rFonts w:hint="eastAsia" w:cs="宋体" w:asciiTheme="majorEastAsia" w:hAnsiTheme="majorEastAsia" w:eastAsiaTheme="majorEastAsia"/>
          <w:bCs/>
          <w:kern w:val="2"/>
        </w:rPr>
        <w:t>八 、规范经营行为，严禁附加不合理贷款条件。规范贷款行为，严格按照标准和程序进行贷前调查、贷时审查、贷后检查。一律不得协商约定或强制设定条款进行贷款返存，一律不得在发放贷款时捆绑或搭售理财、基金、保险等其他金融产品。严禁将贷款发放和管理等核心职能外包，严禁银行员工内外勾结，违规通过中介发放贷款或参与过桥贷款。</w:t>
      </w:r>
    </w:p>
    <w:p>
      <w:pPr>
        <w:spacing w:after="156" w:afterLines="50" w:line="360" w:lineRule="auto"/>
        <w:ind w:firstLine="480" w:firstLineChars="200"/>
        <w:rPr>
          <w:rFonts w:cs="宋体" w:asciiTheme="majorEastAsia" w:hAnsiTheme="majorEastAsia" w:eastAsiaTheme="majorEastAsia"/>
          <w:bCs/>
          <w:kern w:val="2"/>
        </w:rPr>
      </w:pPr>
      <w:r>
        <w:rPr>
          <w:rFonts w:hint="eastAsia" w:cs="宋体" w:asciiTheme="majorEastAsia" w:hAnsiTheme="majorEastAsia" w:eastAsiaTheme="majorEastAsia"/>
          <w:bCs/>
          <w:kern w:val="2"/>
        </w:rPr>
        <w:t>九 、深化体制机制改革，加强服务实体经济能力建设。大力开展调查研究，坚持“知悉客户”原则，根据实体经济需要开发金融产品，提供个性化金融服务，实现金融资源精准投入。进一步完善内部激励约束，优化绩效考核体系，建立容错纠错机制，落实尽职免责要求，激发员工做好金融服务特别是普惠金融服务的能动性。充分利用现代科技手段，构建线上线下综合服务渠道，提高信贷审批和金融效率。</w:t>
      </w:r>
    </w:p>
    <w:p>
      <w:pPr>
        <w:spacing w:after="156" w:afterLines="50" w:line="360" w:lineRule="auto"/>
        <w:ind w:firstLine="480" w:firstLineChars="200"/>
        <w:rPr>
          <w:rFonts w:cs="宋体" w:asciiTheme="majorEastAsia" w:hAnsiTheme="majorEastAsia" w:eastAsiaTheme="majorEastAsia"/>
          <w:bCs/>
          <w:kern w:val="2"/>
        </w:rPr>
      </w:pPr>
      <w:r>
        <w:rPr>
          <w:rFonts w:hint="eastAsia" w:cs="宋体" w:asciiTheme="majorEastAsia" w:hAnsiTheme="majorEastAsia" w:eastAsiaTheme="majorEastAsia"/>
          <w:bCs/>
          <w:kern w:val="2"/>
        </w:rPr>
        <w:t>2018年8月17日</w:t>
      </w:r>
    </w:p>
    <w:p>
      <w:pPr>
        <w:spacing w:after="156" w:afterLines="50" w:line="360" w:lineRule="auto"/>
        <w:ind w:firstLine="480" w:firstLineChars="200"/>
        <w:rPr>
          <w:rFonts w:cs="宋体" w:asciiTheme="majorEastAsia" w:hAnsiTheme="majorEastAsia" w:eastAsiaTheme="majorEastAsia"/>
        </w:rPr>
        <w:sectPr>
          <w:endnotePr>
            <w:numFmt w:val="decimal"/>
          </w:endnotePr>
          <w:pgSz w:w="11906" w:h="16838"/>
          <w:pgMar w:top="1440" w:right="1800" w:bottom="1440" w:left="1800" w:header="851" w:footer="992" w:gutter="0"/>
          <w:cols w:space="720" w:num="1"/>
          <w:docGrid w:type="lines" w:linePitch="312" w:charSpace="0"/>
        </w:sectPr>
      </w:pPr>
    </w:p>
    <w:p>
      <w:pPr>
        <w:pStyle w:val="2"/>
        <w:numPr>
          <w:ilvl w:val="0"/>
          <w:numId w:val="0"/>
        </w:numPr>
        <w:ind w:left="922" w:leftChars="0" w:hanging="440" w:firstLineChars="0"/>
      </w:pPr>
      <w:bookmarkStart w:id="625" w:name="_Toc2914"/>
      <w:r>
        <w:rPr>
          <w:rFonts w:cs="宋体" w:asciiTheme="majorEastAsia" w:hAnsiTheme="majorEastAsia" w:eastAsiaTheme="majorEastAsia"/>
          <w:b/>
          <w:bCs/>
          <w:sz w:val="24"/>
          <w:szCs w:val="24"/>
          <w:lang w:val="en-US" w:eastAsia="zh-CN" w:bidi="ar-SA"/>
        </w:rPr>
        <w:t>100.</w:t>
      </w:r>
      <w:r>
        <w:rPr>
          <w:rFonts w:hint="eastAsia"/>
        </w:rPr>
        <w:t>《中国银保监会关于进一步加强金融服务民营企业有关工作的通知》</w:t>
      </w:r>
      <w:bookmarkEnd w:id="62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发文机构：中国银行保险监督管理委员会(已撤销)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文号：银保监发〔2019〕8号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为深入贯彻落实中共中央办公厅、国务院办公厅印发的《关于加强金融服务民营企业的若干意见》精神，进一步缓解民营企业融资难融资贵问题，切实提高民营企业金融服务的获得感，现就有关工作通知如下：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、持续优化金融服务体系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国有控股大型商业银行要继续加强普惠金融事业部建设，严格落实“五专”经营机制，合理配置服务民营企业的内部资源。鼓励中型商业银行设立普惠金融事业部，结合各自特色和优势，探索创新更加灵活的普惠金融服务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（二）地方法人银行要坚持回归本源，继续下沉经营管理和服务重心，充分发挥了解当地市场的优势，创新信贷产品，服务地方实体经济。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银行要加快处置不良资产，将盘活资金重点投向民营企业。加强与符合条件的融资担保机构的合作，通过利益融合、激励相容实现增信分险，为民营企业提供更多服务。银行保险机构要加大对民营企业债券投资力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（四）保险机构要不断提升综合服务水平，在风险可控情况下提供更灵活的民营企业贷款保证保险服务，为民营企业获得融资提供增信支持。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支持银行保险机构通过资本市场补充资本，提高服务实体经济能力。加快商业银行资本补充债券工具创新，通过发行无固定期限资本债券、转股型二级资本债券等创新工具补充资本，支持保险资金投资银行发行的二级资本债券和无固定期限资本债券。加快研究取消保险资金开展财务性股权投资行业范围限制，规范实施战略性股权投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（六）银保监会及派出机构将继续按照“成熟一家、设立一家”的原则，有序推进民营银行常态化发展，推动其明确市场定位，积极服务民营企业发展，加快建设与民营中小微企业需求相匹配的金融服务体系。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、抓紧建立“敢贷、愿贷、能贷”的长效机制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商业银行要于每年年初制定民营企业服务年度目标，在内部绩效考核机制中提高民营企业融资业务权重，加大正向激励力度。对服务民营企业的分支机构和相关人员，重点对其服务企业数量、信贷质量进行综合考核，提高不良贷款考核容忍度。对民营企业贷款增速和质量高于行业平均水平，以及在客户体验好、可复制、易推广服务项目创新上表现突出的分支机构和个人，要予以奖励。</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商业银行要尽快建立健全民营企业贷款尽职免责和容错纠错机制。重点明确对分支机构和基层人员的尽职免责认定标准和免责条件，将授信流程涉及的人员全部纳入尽职免责评价范畴。设立内部问责申诉通道，对已尽职但出现风险的项目，可免除相关人员责任，激发基层机构和人员服务民营企业的内生动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、公平精准有效开展民营企业授信业务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（九）商业银行贷款审批中不得对民营企业设置歧视性要求，同等条件下民营企业与国有企业贷款利率和贷款条件保持一致，有效提高民营企业融资可获得性。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（十）商业银行要根据民营企业融资需求特点，借助互联网、大数据等新技术，设计个性化产品满足企业不同需求。综合考虑资金成本、运营成本、服务模式以及担保方式等因素科学定价。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商业银行要坚持审核第一还款来源，减轻对抵押担保的过度依赖，合理提高信用贷款比重。把主业突出、财务稳健、大股东及实际控制人信用良好作为授信主要依据。对于制造业企业，要把经营稳健、订单充足和用水用电正常等作为授信重要考虑因素。对于科创型轻资产企业，要把创始人专业专注、有知识产权等作为授信重要考虑因素。要依托产业链核心企业信用、真实交易背景和物流、信息流、资金流闭环，为上下游企业提供无需抵押担保的订单融资、应收应付账款融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、着力提升民营企业信贷服务效率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商业银行要积极运用金融科技手段加强对风险评估与信贷决策的支持，提高贷款需求响应速度和授信审批效率。在探索线上贷款审批操作的同时，结合自身实际，将一定额度民营企业信贷业务的发起权和审批权下放至分支机构，进一步下沉经营重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三）商业银行要根据自身风险管理制度和业务流程，通过推广预授信、平行作业、简化年审等方式，提高信贷审批效率。特别是对于材料齐备的首次申贷中小企业、存量客户1000万元以内的临时性融资需求等，要在信贷审批及放款环节提高时效。加大续贷支持力度，要至少提前一个月主动对接续贷需求，切实降低民营企业贷款周转成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、从实际出发帮助遭遇风险事件的民营企业融资纾困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（十四）支持资管产品、保险资金依法合规通过监管部门认可的私募股权基金等机构，参与化解处置民营上市公司股票质押风险。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五）对暂时遇到困难的民营企业，银行保险机构要按照市场化、法治化原则，区别对待、“一企一策”，分类采取支持处置措施，着力化解企业流动性风险。对符合经济结构优化升级方向、有发展前景和一定竞争力但暂时遇到困难的民营企业，银行业金融机构债权人委员会要加强统一协调，不盲目停贷、压贷，可提供必要的融资支持，帮助企业维持或恢复正常生产经营；对其中困难较大的民营企业，可在平等自愿前提下，综合运用增资扩股、财务重组、兼并重组或市场化债转股等方式，帮助企业优化负债结构，完善公司治理。对于符合破产清算条件的“僵尸企业”，应积极配合各方面坚决破产清算。</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 、推动完善融资服务信息平台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六）银行保险机构要加强内外部数据的积累、集成和对接，搭建大数据综合信息平台，精准分析民营企业生产经营和信用状况。健全优化与民营企业信息对接机制，实现资金供需双方线上高效对接，让信息“多跑路”，让企业“少跑腿”，为民营企业融资提供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七）银保监会及派出机构要积极协调配合地方政府，进一步整合金融、税务、市场监管、社保、海关、司法等领域的企业信用信息，建设区域性的信用信息服务平台，加强数据信息的自动采集、查询和实时更新，推动实现跨层级跨部门跨地域互联互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 、处理好支持民营企业发展与防范金融风险的关系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（十八）商业银行要遵循经济金融规律，坚持审慎稳健的经营理念，建立完善行之有效的风险管控体系和精细高效的管理机制。科学设定信贷计划，不得组织运动式信贷投放。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九）商业银行要健全信用风险管控机制，不断提升数据治理、客户评级和贷款风险定价能力，强化贷款全生命周期的穿透式风险管理。加强对贷款资金流向的监测，做好贷中贷后管理，确保贷款资金真正用于支持民营企业和实体经济，防止被截留、挪用甚至转手套利，有效防范道德风险和形成新的风险隐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（二十）银行业金融机构要继续深化联合授信试点工作，与民营企业构建中长期银企关系，遏制多头融资、过度融资，有效防控信用风险。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 、加大对金融服务民营企业的监管督查力度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一）商业银行要在2019年3月底前制定2019年度民营企业服务目标，结合民营企业经营实际科学安排贷款投放。国有控股大型商业银行要充分发挥“头雁”效应，2019年普惠型小微企业贷款力争总体实现余额同比增长30%以上，信贷综合融资成本控制在合理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二）银保监会将在2019年2月底前明确民营企业贷款统计口径。按季监测银行业金融机构民营企业贷款情况。根据实际情况按法人机构制定实施差异化考核方案，形成贷款户数和金额并重的年度考核机制。加强监管督导和考核，确保民营企业贷款在新发放公司类贷款中的比重进一步提高，并将融资成本保持在合理水平。</w:t>
      </w:r>
    </w:p>
    <w:p>
      <w:pPr>
        <w:spacing w:after="156" w:afterLines="50" w:line="360" w:lineRule="auto"/>
        <w:ind w:firstLine="480" w:firstLineChars="200"/>
        <w:rPr>
          <w:rFonts w:cs="宋体" w:asciiTheme="majorEastAsia" w:hAnsiTheme="majorEastAsia" w:eastAsiaTheme="majorEastAsia"/>
        </w:rPr>
        <w:sectPr>
          <w:endnotePr>
            <w:numFmt w:val="decimal"/>
          </w:endnotePr>
          <w:pgSz w:w="11906" w:h="16838"/>
          <w:pgMar w:top="1440" w:right="1800" w:bottom="1440" w:left="1800" w:header="851" w:footer="992" w:gutter="0"/>
          <w:cols w:space="720" w:num="1"/>
          <w:docGrid w:type="lines" w:linePitch="312" w:charSpace="0"/>
        </w:sectPr>
      </w:pPr>
      <w:r>
        <w:rPr>
          <w:rFonts w:hint="eastAsia" w:cs="宋体" w:asciiTheme="majorEastAsia" w:hAnsiTheme="majorEastAsia" w:eastAsiaTheme="majorEastAsia"/>
        </w:rPr>
        <w:t>（二十三）银保监会将对金融服务民营企业政策落实情况进行督导和检查。2019年督查重点将包括贷款尽职免责和容错纠错机制是否有效建立、贷款审批中对民营企业是否设置歧视性要求、授信中是否附加以贷转存等不合理条件、民营企业贷款数据是否真实、享受优惠政策低成本资金的使用是否合规等方面。相关违规行为一经查实，依法严肃处理相关机构和责任人员。严厉打击金融信贷领域强行返点等行为，对涉嫌违法犯罪的机构和个人，及时移送司法机关等有关机关依法查处。</w:t>
      </w:r>
    </w:p>
    <w:p>
      <w:pPr>
        <w:pStyle w:val="2"/>
        <w:numPr>
          <w:ilvl w:val="0"/>
          <w:numId w:val="0"/>
        </w:numPr>
        <w:ind w:left="922" w:leftChars="0" w:hanging="440" w:firstLineChars="0"/>
      </w:pPr>
      <w:bookmarkStart w:id="626" w:name="_Toc12709"/>
      <w:r>
        <w:rPr>
          <w:rFonts w:cs="宋体" w:asciiTheme="majorEastAsia" w:hAnsiTheme="majorEastAsia" w:eastAsiaTheme="majorEastAsia"/>
          <w:b/>
          <w:bCs/>
          <w:sz w:val="24"/>
          <w:szCs w:val="24"/>
          <w:lang w:val="en-US" w:eastAsia="zh-CN" w:bidi="ar-SA"/>
        </w:rPr>
        <w:t>101.</w:t>
      </w:r>
      <w:r>
        <w:rPr>
          <w:rFonts w:hint="eastAsia"/>
        </w:rPr>
        <w:t>《中国银保监会办公厅关于2019年进一步提升小微企业金融服务质效的通知》</w:t>
      </w:r>
      <w:bookmarkEnd w:id="62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发文：中国银行保险监督管理委员会(已撤销)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文号：银保监办发〔2019〕48号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各银保监局，各政策性银行、大型银行、股份制银行，邮储银行，外资银行，各金融资产管理公司，各保险集团（控股）公司，各中资保险公司：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深入贯彻习近平总书记在民营企业座谈会上的重要讲话精神，落实中央经济工作会议要求，进一步缓解小微企业融资难融资贵问题，持续提升银行保险机构小微企业金融服务质效，现就2019年有关工作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、优化“两增两控”总体目标,推动小微企业贷款继续增量扩面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业金融机构要始终保持战略定力，加强对普惠金融重点领域的支持，聚焦小微企业中的相对薄弱群体和有效信贷需求，努力完成“两增两控”目标，同时继续保持对全口径小微企业贷款的统计监测，进一步提升银行业信贷占小微企业融资总量的比重，带动小微企业融资成本整体下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强化对“两增”目标的考核。全年努力完成“单户授信总额1000万元及以下小微企业贷款（以下简称“普惠型小微企业贷款”）较年初增速不低于各项贷款较年初增速，有贷款余额的户数不低于年初水平”。各银行业金融机构要结合经济走势和小微企业生产经营周期，统筹安排2019年各月度、季度小微企业贷款投放，兼顾全年增速和月平均增速，避免各月度数据出现较大波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加强对“两控”目标的监测和指导。合理控制小微企业贷款资产质量水平和贷款综合成本。力争将普惠型小微企业贷款不良率控制在不高于各项贷款不良率3个百分点以内。巩固2018年银行业小微企业贷款减费让利成效，继续将普惠型小微企业贷款利率保持在合理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、分类实施考核，引导机构差异化竞争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（一）大型银行、股份制银行和邮储银行（以下简称“大中型商业银行”）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1.考核指标：努力完成“普惠型小微企业贷款较年初增速不低于各项贷款较年初增速，有贷款余额的户数不低于年初水平”。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差异化考核：（1）5家大型银行要充分发挥“头雁”效应，2019年力争总体实现“普惠型小微企业贷款余额较年初增长30%以上”。（2）对2018年完成“两增”考核目标（或普惠型小微企业信贷计划）的大中型商业银行，允许其在考核时将当年普惠型小微企业不良贷款核销金额还原计算。（3）对2018年完成“两增”考核目标（或普惠型小微企业信贷计划）以及利率指导目标、普惠型小微企业贷款余额占其各项贷款余额超过10%的大中型商业银行，经报银保监会同意，可适度放宽考核要求，确保至少完成“普惠型小微企业贷款余额不低于年初水平，有贷款余额的户数不低于年初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（二）地方性法人机构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1.考核对象：城市商业银行、民营银行、农村商业银行、农村信用社、农村合作银行、村镇银行。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2.考核指标：各银保监局辖内法人机构努力总体完成“普惠型小微企业贷款较年初增速不低于各项贷款较年初增速，有贷款余额的户数不低于年初水平”。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差异化考核：在辖内法人机构信贷计划总体完成“两增”考核目标的前提下，可对部分机构实行差异化考核，相关标准或条件由各银保监局自主制定。（1）对辖内2018年完成“两增”考核目标（或普惠型小微企业信贷计划）的法人机构，允许其在考核时将当年普惠型小微企业不良贷款核销金额还原计算。（2）对辖内2018年完成“两增”考核目标（或普惠型小微企业信贷计划）以及利率指导目标、普惠型小微企业贷款余额占其各项贷款余额超过一定比例的法人机构，经报属地银保监局同意，可适度放宽考核要求，确保至少完成“普惠型小微企业贷款余额不低于年初水平，有贷款余额的户数不低于年初水平”。（3）对辖内涉农贷款占比较高的法人机构，可选择将其“两增”考核计算口径扩大为“单户授信总额1000万元以下（含）小微企业贷款和普惠型其它组织及个人经营性（非农户）贷款、单户授信总额500万元以下（含）的普惠型农户经营性贷款”。（4）对部分总体风险水平偏高、但正在积极进行风险化解处置的法人机构，普惠型小微企业贷款不良容忍度可在“不高于各项贷款不良率3个百分点”的基础上适当放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（三）开发银行、政策性银行、外资银行和非银行金融机构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1.不作指标考核，保持日常监测、通报。主要监测普惠型小微企业贷款余额、户数。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相关要求：鼓励开发银行及政策性银行结合机构和业务特点,以转贷形式向银行业金融机构批发资金,专门用于投放小微企业贷款。转贷双方均应实行单独的台账管理，统计贷款投向明细，避免重复计算；加强对资金用途的跟踪监测，确保资金全部用于支持小微企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、单列信贷计划，强化执行力度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单列信贷计划。各银行业金融机构年初要以完成“两增”目标为导向，在客观预估当年本行各项贷款增速的基础上，单独制定普惠型小微企业信贷计划，并分解至各一级分行。信贷计划需经本行主要负责人签字认可，执行过程中不得挤占、挪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不良核销还原考核申请。符合不良贷款核销还原标准的银行业金融机构需在报送2019年信贷计划时向监管部门提交申请。其中，大中型商业银行由银保监会普惠金融部审核，地方性法人机构由各银保监局审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买入转让信贷资产额度纳入“两增”考核范畴。根据《关于进一步规范银行业金融机构信贷资产转让业务的通知》（银监发〔2010〕102号）相关规定，当信贷资产转让业务的转出方在资产负债表内终止确认该项信贷资产时，转入方应将转入的信贷资产进一步细分，将其中的普惠型小微企业贷款额度填入1104系统S71报表中的相应科目（历史数据不追溯调整），纳入“两增”考核范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、巩固银行业小微企业贷款减费让利成效，带动降低小微企业综合融资成本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继续保持小微企业贷款利率定价合理水平。各商业银行要在保持“量”“价”平衡的基础上，按照商业可持续、“保本微利”的原则，巩固普惠型小微企业贷款利率指导工作成效，未完成2018年利率指导目标的要进一步加大落实力度，确保2019年普惠型小微企业贷款利率保持在合理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建立差异化的小微企业利率定价机制。各商业银行要综合考虑资金成本、运营成本、服务模式以及担保方式等因素，实施差别化的利率定价。普惠型小微企业贷款利率明显高于同类机构同类产品平均水平的银行，要进一步加大贷款利率压降力度。使用政策性银行转贷资金、人民银行支小再贷款资金以及由政府性融资担保公司提供担保的普惠型小微企业贷款，要合理确定其利率定价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进一步完善内部成本分摊和收益共享机制。各银行业金融机构要通过实行小微企业贷款内部资金转移定价优惠、安排专项激励费用予以补贴等方式，提升分支机构和一线从业人员开展小微企业相关业务的积极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严格落实相关收费减免要求。严格执行“七不准”“四公开”要求。强化落实“两禁两限”规定，除银团贷款外，禁止向小微企业贷款收取承诺费、资金管理费，严格限制收取财务顾问费、咨询费。严禁发放贷款时附加不合理条件，以克扣放款数额、以贷转存、存贷挂钩、浮利分费、借贷搭售等行为，变相抬升小微企业融资成本。在风险可控的前提下，进一步缩短融资链条，清理不必要的“通道”“过桥”环节，切实降低小微企业贷款附加成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、拓宽信贷资金来源，继续强化正向激励</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鼓励发行小微企业专项金融债。商业银行申请发行小微企业专项金融债，不以完成小微企业贷款增长的监管考核指标为前提，但应就本行资金头寸情况做充分说明。要严格确保募集资金全部用于发放小微企业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研究完善小微企业贷款资本监管要求。研究修订商业银行资本管理相关监管法规，在计量信用风险加权资产时，对普惠型小微企业贷款，权重法下可适用75%的风险权重，内部评级法下可比照适用零售风险暴露的计量规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优化贷款支付方式。银行业金融机构在风险可控、严格贷款用途管理的前提下，进一步优化贷款支付方式。对自主支付的贷款，须经过合理的审核流程，充分发挥相关岗位制衡作用，加强跟踪监测，灵活采取账户分析、凭证查验、现场调查等方式，综合判断贷款用途，不将发票作为认定贷款用途是否符合合同约定的唯一要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 、完善内部机制建设，充分调动银行基层“敢贷、愿贷”的积极性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进一步完善内部绩效考核机制。各银行业金融机构要提高小微企业金融业务的考核分值权重，将小微企业业务考核指标完成情况、监管政策落实情况与分支机构主要负责人考核评优及提拔任用挂钩。进一步优化对基层信贷人员的考核激励方式，适当下调利润考核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进一步落实授信尽职免责制度和容错纠错机制。各银行业金融机构要重点明确对分支机构和基层人员的尽职免责认定标准和免责条件，进一步将授信尽职免责与不良贷款容忍制度有机结合，对分支机构可执行差别化的容忍度。对小微企业不良贷款率未超出容忍度标准的分支机构，在无违反法律法规和监管规则行为的前提下，可对分支机构负责人、小微业务部门和从业人员免予追责。各商业银行（不含外资银行）每半年度应向监管部门报送尽职免责落实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进一步提升风险管控能力。各银行业金融机构要加强对小微企业贷款资金流向的监测，做好贷中贷后检查，确保贷款资金真正用于支持小微企业和实体经济，防止小微企业贷款资金被挪用至政府平台、房地产等调控领域形成新风险隐患。各银行业金融机构要强化对小微金融从业人员的内控合规管理，严防内外串通挪用银行低成本小微企业信贷资金进行“套利”的违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 、优化信贷技术和方式，提升服务效率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充分发挥差异化竞争优势。大中型商业银行要充分发挥技术、资源优势，继续深化普惠金融事业部建设，严格落实综合服务、统计核算、风险管理、资源配置、考核评价的“五专”经营机制，将资源向小微企业金融服务领域倾斜，进一步加强与互联网、大数据的融合，深度挖掘自身金融数据和外部征信数据资源，在加强合规管理和风险控制的前提下，探索研究全流程线上贷款业务模式。地方性法人银行要坚持回归本源、服务地方实体经济的定位，继续下沉经营管理和服务重心，充分把握“地缘、亲缘、人缘”的固有优势，深耕本地小微企业市场，因地制宜创新信用评价方式和信贷产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加大续贷支持力度。各银行业金融机构要加大续贷政策落实力度，在守住风险底线的基础上，加强续贷产品的开发和推广，合理提高续贷业务在小微企业贷款中的比重，简化续贷办理流程，支持正常经营的小微企业融资周转“无缝衔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优化贷款期限和流程。银行业金融机构要为小微企业合理设置流动资金贷款期限，研发适合小微企业的中长期固定资产贷款产品。根据自身风险管理制度和业务流程，积极探索建立贷款全流程限时制度，按业务类别对小微企业贷款办理时限做出明确承诺，精简耗时环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 、用好用足外部优惠政策，充分发挥政策合力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行业金融机构要充分把握定向降准、宏观审慎评估考核倾斜、支小再贷款、中期借贷便利等政策优惠，将新增信贷资源重点投向普惠型小微企业贷款。要主动对接税务部门，完善内部统计核算系统，按照监管考核要求和财政部、税务总局《关于金融机构小微企业贷款利息收入免征增值税政策的通知》（财税〔2018〕91号），依法合规申报小微企业贷款利息收入增值税减免，并按季报送免税数据。各银行业金融机构享受上述货币财税支持以及地方政府风险补偿、增量奖励等相关激励政策产生的红利，要在普惠型小微企业贷款利率定价和内部绩效考核中有相应体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 、强化监管督导，做好政策传导和经验交流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实施分类督导。继续坚持以法人银行业金融机构为对象、会机关和银保监局上下联动的监管督导和考核方式。对完成考核指标良好，小微企业贷款基数大、占比高、户均余额低的银行业金融机构，加强正面宣传和正向激励；对未能完成考核指标且差距较大的银行业金融机构，加大督促整改工作力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抓实信贷计划序时进度考核。各银保监局要按月监测、按季通报辖内地方性法人机构和大中型商业银行分行的普惠型小微企业信贷计划序时进度情况,尽量减少月度、季度间的数据波动。对执行计划进度明显落后的机构，要及时加大监管提示、督导和通报力度，确保全年足额完成信贷计划。</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强化调研和检查。各银保监局要定期组织开展对银行业金融机构小微企业贷款业务的实地调研，及时掌握新情况、新问题。同时，在信贷业务现场检查和风险排查中，要将小微企业贷款业务作为重点，防止部分银行“一哄而上”对部分小微企业过度融资、多头融资，形成集中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加强数据质量审查。各银保监局要督促银行业金融机构加强和改进数据填报工作，提高S71报表数据填报质量。加强对数据解锁的审查，对频繁解锁的机构予以窗口指导，禁止随意解锁，对虚报数据行为严肃问责。辖内如出现大面积数据解锁申请，应由银保监局主要负责人审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加强政策宣讲和经验交流。各银保监局要适时对辖内银行业金融机构开展监管政策宣讲，特别是绩效考核倾斜、尽职免责和续贷制度。定期开展经验交流和银企对接活动，总结推广小微企业金融服务典型模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 、推动完善信用信息体系建设，进一步缓解银企信息不对称难题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继续深化“银税互动”。各级监管部门要充分发挥银税合作联席会议的作用，鼓励银行业金融机构通过与税务部门数据直连或与正规持牌的第三方征信机构合作等方式，搭建“互联网+大数据+金融+税务”平台，积极创新银税合作信贷产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加强“银商合作”力度。各级监管部门要进一步与市场监管部门建立和完善银商合作联席会议制度，鼓励银行业金融机构充分利用小微企业名录系统，挖掘具备有效信贷需求的小微企业客户，定期交换逃废银行债务和工商行政处罚的企业信息，实现失信联合惩戒、守信联合激励。</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推动建立省市级小微企业信用信息共享平台。各级监管部门要积极配合和推动地方政府，进一步整合市场监管、税务、法院、公安、海关、房管、电力等多个部门的小微企业信用信息，实现信息的自动采集、查询和实时更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 、推动完善小微企业增信体系，提高风险分担能力和水平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进一步深化“银担合作”机制。各级监管部门要充分发挥国家和地方融资担保基金的作用，积极构建政府性融资担保机构和商业银行共同参与的风险分担机制，通过利益融合、激励相容，实现增信分险。在依法合规、风险可控的前提下，引导商业银行对融资担保机构适度降低授信门槛、简化授信程序，将更多符合条件的融资担保机构纳入合作范围，在授信额度、放大倍数、利率水平、续贷条件等方面对小微企业提供更多优惠。</w:t>
      </w:r>
    </w:p>
    <w:p>
      <w:pPr>
        <w:spacing w:after="156" w:afterLines="50" w:line="360" w:lineRule="auto"/>
        <w:ind w:firstLine="480" w:firstLineChars="200"/>
        <w:rPr>
          <w:rFonts w:cs="宋体" w:asciiTheme="majorEastAsia" w:hAnsiTheme="majorEastAsia" w:eastAsiaTheme="majorEastAsia"/>
        </w:rPr>
        <w:sectPr>
          <w:endnotePr>
            <w:numFmt w:val="decimal"/>
          </w:endnotePr>
          <w:pgSz w:w="11906" w:h="16838"/>
          <w:pgMar w:top="1440" w:right="1800" w:bottom="1440" w:left="1800" w:header="851" w:footer="992" w:gutter="0"/>
          <w:cols w:space="720" w:num="1"/>
          <w:docGrid w:type="lines" w:linePitch="312" w:charSpace="0"/>
        </w:sectPr>
      </w:pPr>
      <w:r>
        <w:rPr>
          <w:rFonts w:hint="eastAsia" w:cs="宋体" w:asciiTheme="majorEastAsia" w:hAnsiTheme="majorEastAsia" w:eastAsiaTheme="majorEastAsia"/>
        </w:rPr>
        <w:t>（二）进一步加大“银保合作”力度。各级监管部门要引导银行业金融机构和保险公司加强合作，建立风险共担机制，完善工作联系机制，强化银保双方系统对接，实现业务数据信息共享。鼓励保险公司在风险可控情况下，为小微企业获得银行贷款提供增信支持。鼓励保险公司针对小微企业的还贷方式，提供更灵活的银行小微企业贷款保证保险产品。持续推进保险资金支农支小融资业务试点。鼓励保险公司投资商业银行发行的小微企业专项金融债、小微企业信贷资产证券化等金融产品。</w:t>
      </w:r>
    </w:p>
    <w:p>
      <w:pPr>
        <w:pStyle w:val="2"/>
        <w:numPr>
          <w:ilvl w:val="0"/>
          <w:numId w:val="0"/>
        </w:numPr>
        <w:ind w:left="922" w:leftChars="0" w:hanging="440" w:firstLineChars="0"/>
      </w:pPr>
      <w:bookmarkStart w:id="627" w:name="_Toc25947"/>
      <w:r>
        <w:rPr>
          <w:rFonts w:cs="宋体" w:asciiTheme="majorEastAsia" w:hAnsiTheme="majorEastAsia" w:eastAsiaTheme="majorEastAsia"/>
          <w:b/>
          <w:bCs/>
          <w:sz w:val="24"/>
          <w:szCs w:val="24"/>
          <w:lang w:val="en-US" w:eastAsia="zh-CN" w:bidi="ar-SA"/>
        </w:rPr>
        <w:t>102.</w:t>
      </w:r>
      <w:r>
        <w:rPr>
          <w:rFonts w:hint="eastAsia"/>
        </w:rPr>
        <w:t>《深化金融供给侧改革持续优化金融信贷营商环境的意见》</w:t>
      </w:r>
      <w:bookmarkEnd w:id="627"/>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发文机构：北京市地方金融监督管理局（已撤销），中国人民银行营业管理部(北京)，中国银行保险监督管理委员会北京监管局（已撤销）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为持续优化本市金融信贷营商环境，提升金融信贷服务水平，加强金融服务民营小微企业能力，现提出以下意见：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、降低企业综合融资成本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督导辖区内金融机构常规服务收费“能减尽减”,银行机构适度下调小微企业贷款利率,担保公司适度下调担保费率，降低小微企业综合融资成本。力争2019年完成小微企业综合融资成本，较前一年下降0.9个百分点的目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、推动线上申请与审批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推动辖区内银行机构开展手机在线申贷、系统自动授信、实时审批、即时到账，进行全流程“不落地”的线上贷款模式，缩短融资链条，提高信贷审批效率，真正实现银行贷款“最多跑一次”。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、建立贷款客户“白名单”管理制度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通过内嵌年审制、预审制，督促银行机构对贷款情况进行审查，符合条件的企业，可持续使用贷款资金。鼓励银行机构改进小微企业贷款期限管理，研发适合小微企业的中长期贷款产品。循环贷款模式下，企业可以多次提取、随借随还、循环使用贷款额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、实现银行机构“两增”目标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加强对北京地区内法人银行机构的考核，保证2019年总体完成普惠型小微企业贷款较年初增速不低于各项贷款较年初增速，贷款余额的户数不低于年初水平。其中，要求五家大型银行发挥行业“头雁”作用，力争总体实现普惠型小微企业贷款余额较年初增长30%以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、建立金融信贷对小微企业的容错机制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小微企业不良贷款率未超出容忍度标准的金融机构和分支机构，在无违反法律法规和监管规则行为的前提下，对分支机构负责人、小微业务部门和从业人员免予追责。对部分总体风险水平偏高、但正在积极进行风险化解处置的法人机构，普惠型小微企业贷款不良容忍度可在“不高于各项贷款不良率3个百分点”的基础上适当放宽。北京辖区内金融机构（不含外资）每半年度应向监管部门报送尽职免责落实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 、设立市级融资担保平台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成立市融资担保集团并设立总规模不低于100亿元的融资担保基金，发挥政策性融资担保体系的积极引导作用，通过体制机制创新，有效提升财政资金对金融资源的撬动作用。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 、强化无还本续贷机制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北京辖区内银行业金融机构应加强续贷产品的开发，加大续贷支持力度，要至少提前一个月主动对接续贷需求，切实降低民营企业贷款周转成本。推广无还本续贷产品，对经营可持续、发展有前景、符合首都核心功能定位的小微企业，不停贷、不压贷、不断贷，帮助企业度过难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 、启动“畅融工程”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深化政府、金融机构、企业的金融服务联动机制，开启“畅融工程”。每周、每月、每季度开展不同频次、不同类型、不同专题的对接会。发挥互联网＋的优势，建立“畅融工程”企业数据库，解决企业融资诉求、续贷需求，打破信息不对称性，增加信息的及时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 、推动信用信息体系“全覆盖”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推动在京金融机构分类别、分批次接入人民银行征信系统，实现信用信息体系“全覆盖”。通过整合公共信用信息和社会商业信息，综合运用大数据、云计算等现代金融科技手段，为金融机构提供信用评估和风险预警等数据风控服务，完善小微企业信用信息体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 、建立金融机构考核评价机制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督促辖区内金融机构提高对小微企业金融业务的考核分值权重，将小微企业业务考核指标完成情况与考核评优及提拔任用挂钩，推动金融机构对小微企业“敢贷、愿贷”的积极性。进一步优化对基层信贷人员的考核激励方式，适当下调利润考核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 、推动在京建立“金融法院”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建立北京金融法院，管理金融民商事案件和涉金融行政案件，进一步完善全市金融审判体系。设立金融纠纷协调中心，参与涉及经济、金融交易、金融服务等活动发生的民商事争议纠纷调解，开展金融矛盾纠纷化解工作，营造良好金融法治环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 、全国首推“动产担保登记系统试点”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推动动产融资统一登记公示系统与全国市场监管动产抵押登记业务系统合并，在北京开展动产担保登记系统试点工作。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十三 、设立区级快捷贷款服务中心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与辖区内商业银行、金融机构共同建立小微快贷中心，为民众办理银行贷款、信用贷款、小额贷款、抵押贷款等业务进行快速贷款服务，以及金融理财产品的咨询建议和金融风险防范的宣传。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十四 、设立地方金融资产管理公司</w:t>
      </w:r>
    </w:p>
    <w:p>
      <w:pPr>
        <w:spacing w:after="156" w:afterLines="50" w:line="360" w:lineRule="auto"/>
        <w:ind w:firstLine="480" w:firstLineChars="200"/>
        <w:rPr>
          <w:rFonts w:cs="宋体" w:asciiTheme="majorEastAsia" w:hAnsiTheme="majorEastAsia" w:eastAsiaTheme="majorEastAsia"/>
        </w:rPr>
        <w:sectPr>
          <w:endnotePr>
            <w:numFmt w:val="decimal"/>
          </w:endnotePr>
          <w:pgSz w:w="11906" w:h="16838"/>
          <w:pgMar w:top="1440" w:right="1800" w:bottom="1440" w:left="1800" w:header="851" w:footer="992" w:gutter="0"/>
          <w:cols w:space="720" w:num="1"/>
          <w:docGrid w:type="lines" w:linePitch="312" w:charSpace="0"/>
        </w:sectPr>
      </w:pPr>
      <w:r>
        <w:rPr>
          <w:rFonts w:hint="eastAsia" w:cs="宋体" w:asciiTheme="majorEastAsia" w:hAnsiTheme="majorEastAsia" w:eastAsiaTheme="majorEastAsia"/>
        </w:rPr>
        <w:t>推动设立北京第二家不良资产处置的金融资产管理公司，重点针对科技创新企业、民营企业、小微企业的不良资产的处置，开展不良资产剥离、股权质押、存量资产变现等业务。</w:t>
      </w:r>
    </w:p>
    <w:p>
      <w:pPr>
        <w:pStyle w:val="2"/>
        <w:numPr>
          <w:ilvl w:val="0"/>
          <w:numId w:val="0"/>
        </w:numPr>
        <w:ind w:left="922" w:leftChars="0" w:hanging="440" w:firstLineChars="0"/>
      </w:pPr>
      <w:bookmarkStart w:id="628" w:name="_Toc26217"/>
      <w:r>
        <w:rPr>
          <w:rFonts w:cs="宋体" w:asciiTheme="majorEastAsia" w:hAnsiTheme="majorEastAsia" w:eastAsiaTheme="majorEastAsia"/>
          <w:b/>
          <w:bCs/>
          <w:sz w:val="24"/>
          <w:szCs w:val="24"/>
          <w:lang w:val="en-US" w:eastAsia="zh-CN" w:bidi="ar-SA"/>
        </w:rPr>
        <w:t>103.</w:t>
      </w:r>
      <w:r>
        <w:rPr>
          <w:rFonts w:hint="eastAsia"/>
        </w:rPr>
        <w:t>《北京银保监局关于规范银行业金融机构票据业务的监管意见》</w:t>
      </w:r>
      <w:bookmarkEnd w:id="628"/>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发文机构：中国银行保险监督管理委员会北京监管局（已撤销）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文号：京银保监发〔2019〕248号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政策性银行北京市分行及总行营业部、国家开发银行在京营业机构、辖内各国有控股大型商业银行、辖内各股份制商业银行、北京银行、北京农商银行、北京中关村银行、辖内各村镇银行、各城市商业银行北京分行、辖内各外资银行、辖内各企业集团财务公司、中国工商银行票据营业部北京分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为深化金融乱象治理，促进辖内银行业金融机构合规建设，引导票据业务回归本源、支持实体经济，遏制资金脱实向虚，防范金融风险，促进辖内票据业务健康有序发展，现提出如下监管意见。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审慎办理异地企业票据业务。辖内银行业金融机构应严格审慎办理非辖内注册企业的票据承兑和直贴业务，应对此类企业建立严格的准入标准，实行名单制管理，并根据业务风险状况及时动态调整客户名单。辖内银行业金融机构（除财务公司外）办理异地企业票据承兑和直贴业务，原则上应以与辖内注册企业存在债权债务关系的京津冀协同发展区域内企业、以辖内注册企业为核心的供应链企业为客户对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审慎办理商业承兑汇票相关业务。辖内银行业金融机构应严格审慎办理以商业承兑汇票（以下简称“商票”）或其收益权为基础资产或对象的同业投资业务、资产证券化业务，以及福费廷、保理、质押等业务，应建立严格的业务管理和风险控制制度，应配备专业的合规、风险管理和操作人员，应严格按照业务经济实质计量信用风险加权资产。辖内银行业金融机构办理商票相关业务，应实施严格的企业授信管理和名单制管理，并根据业务风险状况及时动态调整。辖内银行业金融机构（除财务公司外）办理商票直贴、保贴、保兑、保证等业务，原则上应以辖内注册企业或以辖内注册企业为核心的供应链企业为客户对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规范票据业务贸易背景审查。严禁辖内银行业金融机构为成立时间、实缴资本、营业收入等与业务金额严重不匹配的客户办理票据承兑和直贴业务，不得以承兑行授信额度审查代替贴现申请人资质审查。辖内银行业金融机构办理票据承兑和商票直贴业务，应严格执行纸质发票、单据等原件签注政策。已办结的票据承兑和商票直贴业务无法证明贸易背景实性的，不得叙作业务。严禁为存在购销合同关键要素表述错误、购销合同与发票或其他单据逻辑不一致等情形的企业办理票据承兑和商票直贴业务。办理以大宗商品贸易为背景的票据承兑和商票直贴业务，必须审查与商品交割相关的仓单、提单等单据。辖内银行业金融机构办理票据承兑和直贴业务，应根据企业近年来经核实的财务数据、成立时间、经营流水、纳税记录、结算模式等综合审慎核定企业年度票据业务发生额上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规范票据业务资金审查。严禁辖内银行业金融机构票据承兑业务担保资金（包括但不限于保证金、质押存单、质押理财产品投资款）来源于贷款或其他债务性资金、直贴资金。严禁票据直贴业务资金违规回流至贴现申请人任一前手；存在违规回流的，不得为同一贴现申请人叙作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规范高比例担保票据业务。全面从严监管辖内银行业金融机构以保证金、理财产品、存单等高比例质押担保方式办理的票据承兑和直贴业务。严禁辖内银行业金融机构通过上述高比例担保票据业务调节资产质量、违规吸收存款、接续到期理财产品等监管套利行为。不得以风险程度较低为由放松对高比例担保票据业务的贸易背景真实性审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 、及时报送业务信息。我局将票据业务监管月报表纳入区域特色报表体系。辖内银行业金融机构应于当月前10个自然日内通过数据采集平台报送前月数据，并且严格确保数据准确。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 、严厉惩处票据业务违规行为。辖内银行业金融机构办理票据业务应严守合规底线，强化内控建设，提高风险管理水平，落实风险防范责任。我局将在后续监管中进一步加强现场检查和非现场监测力度，对违规行为依法实施行政处罚，并责令内部严格问责，并视情况采取暂停相关业务或市场准入等监管强制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银保监会另有规定的从其规定。</w:t>
      </w:r>
    </w:p>
    <w:p>
      <w:pPr>
        <w:spacing w:after="156" w:afterLines="50" w:line="360" w:lineRule="auto"/>
        <w:ind w:firstLine="480" w:firstLineChars="200"/>
        <w:rPr>
          <w:rFonts w:cs="宋体" w:asciiTheme="majorEastAsia" w:hAnsiTheme="majorEastAsia" w:eastAsiaTheme="majorEastAsia"/>
        </w:rPr>
        <w:sectPr>
          <w:endnotePr>
            <w:numFmt w:val="decimal"/>
          </w:endnotePr>
          <w:pgSz w:w="11906" w:h="16838"/>
          <w:pgMar w:top="1440" w:right="1800" w:bottom="1440" w:left="1800" w:header="851" w:footer="992" w:gutter="0"/>
          <w:cols w:space="720" w:num="1"/>
          <w:docGrid w:type="lines" w:linePitch="312" w:charSpace="0"/>
        </w:sectPr>
      </w:pPr>
      <w:r>
        <w:rPr>
          <w:rFonts w:hint="eastAsia" w:cs="宋体" w:asciiTheme="majorEastAsia" w:hAnsiTheme="majorEastAsia" w:eastAsiaTheme="majorEastAsia"/>
        </w:rPr>
        <w:t>本监管意见由北京银保监局负责解释。</w:t>
      </w:r>
    </w:p>
    <w:p>
      <w:pPr>
        <w:pStyle w:val="2"/>
        <w:numPr>
          <w:ilvl w:val="0"/>
          <w:numId w:val="0"/>
        </w:numPr>
        <w:ind w:left="922" w:leftChars="0" w:hanging="440" w:firstLineChars="0"/>
      </w:pPr>
      <w:bookmarkStart w:id="629" w:name="_Toc8097"/>
      <w:r>
        <w:rPr>
          <w:rFonts w:cs="宋体" w:asciiTheme="majorEastAsia" w:hAnsiTheme="majorEastAsia" w:eastAsiaTheme="majorEastAsia"/>
          <w:b/>
          <w:bCs/>
          <w:sz w:val="24"/>
          <w:szCs w:val="24"/>
          <w:lang w:val="en-US" w:eastAsia="zh-CN" w:bidi="ar-SA"/>
        </w:rPr>
        <w:t>104.</w:t>
      </w:r>
      <w:r>
        <w:rPr>
          <w:rFonts w:hint="eastAsia"/>
        </w:rPr>
        <w:t>《关于进一步加强知识产权质押融资工作的通知》</w:t>
      </w:r>
      <w:bookmarkEnd w:id="629"/>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发文机构：中国银行保险监督管理委员会（已撤销）、国家知识产权局、国家版权局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文号：银保监发〔2019〕34号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保监局，各省、自治区、直辖市、新疆建设兵团、计划单列市知识产权局（知识产权管理部门）、版权局，各政策性银行、大型银行、股份制银行，邮储银行，外资银行，金融资产管理公司，各保险集团（控股）公司、保险公司、保险资产管理公司，其他会管经营类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为贯彻落实党中央、国务院关于知识产权工作的一系列重要部署，促进银行保险机构加大对知识产权运用的支持力度，扩大知识产权质押融资，现就有关事项通知如下：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、优化知识产权质押融资服务体系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银行保险机构、知识产权质权登记机构应当统一思想认识、保持战略定力，高度重视知识产权质押融资工作的重要性。鼓励银行保险机构积极开展知识产权质押融资业务，支持具有发展潜力的创新型（科技型）企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（二）支持商业银行建立专门的知识产权质押融资管理制度。大型银行、股份制银行应当研究制定知识产权质押融资业务的支持政策，并指定专门部门负责知识产权质押融资工作。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（三）鼓励商业银行在风险可控的前提下，通过单列信贷计划、专项考核激励等方式支持知识产权质押融资业务发展，力争知识产权质押融资年累放贷款户数、年累放贷款金额逐年合理增长。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支持商业银行建立适合知识产权质押融资特点的风险评估、授信审查、授信尽职和奖惩制度，创新信贷审批制度和利率定价机制。鼓励商业银行通过科技支行重点营销知识产权质押贷款等金融产品。鼓励商业银行积极探索知识产权金融业务发展模式，根据自身业务特色和经营优势，重点支持知识产权密集的创新型（科技型）企业的知识产权质押融资需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、加强知识产权质押融资服务创新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鼓励商业银行对企业的专利权、商标专用权、著作权等相关无形资产进行打包组合融资，提升企业复合型价值，扩大融资额度。研究扩大知识产权质押物范围，积极探索地理标志、集成电路布图设计作为知识产权质押物的可行性，进一步拓宽企业融资渠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鼓励商业银行建立对企业科技创新能力的评价体系，通过综合评估企业专利权、商标专用权、著作权等知识产权价值等方式，合理分析企业创新发展能力和品牌价值，通过知识产权质押融资业务把握企业发展方向。商业银行应当积极同相关部门合作，完善对创新型（科技型）企业的认定及评价机制。支持商业银行运用云计算、大数据、移动互联网等新技术研发知识产权质押融资新模式。鼓励商业银行在提供知识产权质押融资服务基础上，为企业提供综合金融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支持商业银行与知识产权密集型产业园区开展战略性合作，给予园区合理的意向性授信额度。鼓励商业银行加大对产业供应链中的创新型（科技型）小微企业的融资支持力度,促成小微企业知识产权质押“首贷”,进一步探索将小微企业纳入知识产权金融服务体系的有效途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支持商业银行与投资基金等具备投资能力和条件的机构开展合作，积极支持拥有较高技术水平、良好市场前景的知识产权质押融资借款人。支持保险机构依法合规投资知识产权密集的创新型（科技型）小微企业，有效提升保险机构金融综合服务能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、健全知识产权质押融资风险管理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（九）商业银行开展知识产权质押融资业务应当对出质人及质物进行调查，办理质权登记，加强对押品的动态管理，定期分析借款人经营情况，对可能产生风险的不利情形要及时采取措施。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鼓励商业银行培养知识产权质押融资专门人才，建立知识产权资产评估机构库，加强对知识产权第三方资产评估机构的合作准入与持续管理。逐步建立和完善知识产权内部评估体系，加强内部风险评估、资产评估能力建设，探索开展内部评估。支持商业银行探索以协商估值、坏账分担为核心的中小微企业知识产权质押融资模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商业银行知识产权质押融资不良率高出自身各项贷款不良率3个百分点（含）以内的，可不作为监管部门监管评级和银行内部考核评价的扣分因素。商业银行应当进一步建立健全符合知识产权质押融资特点的内部尽职免责机制和科学的绩效考核机制。对经办人员在知识产权质押融资业务办理过程中已经尽职履责的，实行免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（十二）鼓励保险机构在风险可控前提下，开展与知识产权质押融资相关的保证保险业务。鼓励保险机构开展知识产权被侵权损失保险、侵权责任保险等保险业务，为知识产权驱动创新发展提供保险服务。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、完善知识产权质押融资保障工作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（十三）银行保险监督管理部门与知识产权管理部门、版权管理部门建立知识产权金融协同工作机制，加强信息数据共享，共同推动知识产权质押融资相关支持政策的制定和实施工作。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四）各银保监局、地方知识产权管理部门、地方版权管理部门等应当加强对本地区知识产权金融工作的组织领导，制定和完善本地区知识产权金融工作的具体措施。各银保监局、地方知识产权管理部门、地方版权管理部门要与地方政府有关部门加强合作，推动建立和完善知识产权质押融资的风险分担和损失补偿机制，促进知识产权质押融资业务可持续发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五）各银保监局、地方知识产权管理部门、地方版权管理部门应当积极为商业银行与创新型（科技型）企业创造对接机会与平台。推动建立知识产权资产评估机构库、专家库和知识产权融资项目数据库，推进知识产权作价评估标准化,为商业银行开展知识产权质押融资创造良好条件。地方知识产权管理部门和地方版权管理部门应当加强对商业银行知识产权押品动态管理的专项服务，联合商业银行探索知识产权质物处置、流转的有效途径，充分发挥国家知识产权运营公共服务平台等各类知识产权交易平台作用，做好质物处置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六）知识产权管理部门、版权管理部门推动建立统一的专利权、商标专用权、著作权质押登记公示信息平台，便于商业银行、社会公众等进行查询。对于商业银行行使质权获得的知识产权等，可按程序减免维持费用。知识产权质权登记机构应当不断优化知识产权质押登记流程，缩短登记时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七）商业银行应当加强知识产权质押融资业务的统计分析，定期向银行保险监督管理部门报送知识产权质押融资统计数据及相关工作情况。各级银行保险监督管理部门、知识产权管理部门、版权管理部门应当积极促进银行保险机构之间、银行保险机构与知识产权运营服务机构之间的交流，适时对辖内银行保险机构、知识产权运营服务机构开展知识产权质押融资业务情况进行评估，对业务开展良好的商业银行可按规定实施监管激励。</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（十八）鼓励商业银行以外的银行业金融机构以及经银保监会或银保监局批准设立的其他金融机构参照本通知的规定，积极开展知识产权质押融资业务，支持具有发展潜力的创新型（科技型）企业。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（十九）各级银行保险监督管理部门、知识产权管理部门、版权管理部门要及时总结交流知识产权质押融资典型案例和良好经验；对于政策执行过程中出现的问题和困难，要加强研究，及时报告上级主管部门。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中国银保监会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国家知识产权局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国家版权局</w:t>
      </w:r>
    </w:p>
    <w:p>
      <w:pPr>
        <w:spacing w:after="156" w:afterLines="50" w:line="360" w:lineRule="auto"/>
        <w:ind w:firstLine="480" w:firstLineChars="200"/>
        <w:rPr>
          <w:rFonts w:cs="宋体" w:asciiTheme="majorEastAsia" w:hAnsiTheme="majorEastAsia" w:eastAsiaTheme="majorEastAsia"/>
        </w:rPr>
        <w:sectPr>
          <w:endnotePr>
            <w:numFmt w:val="decimal"/>
          </w:endnotePr>
          <w:pgSz w:w="11906" w:h="16838"/>
          <w:pgMar w:top="1440" w:right="1800" w:bottom="1440" w:left="1800" w:header="851" w:footer="992" w:gutter="0"/>
          <w:cols w:space="720" w:num="1"/>
          <w:docGrid w:type="lines" w:linePitch="312" w:charSpace="0"/>
        </w:sectPr>
      </w:pPr>
      <w:r>
        <w:rPr>
          <w:rFonts w:hint="eastAsia" w:cs="宋体" w:asciiTheme="majorEastAsia" w:hAnsiTheme="majorEastAsia" w:eastAsiaTheme="majorEastAsia"/>
        </w:rPr>
        <w:t>2019年8月6日</w:t>
      </w:r>
    </w:p>
    <w:p>
      <w:pPr>
        <w:pStyle w:val="2"/>
        <w:numPr>
          <w:ilvl w:val="0"/>
          <w:numId w:val="0"/>
        </w:numPr>
        <w:ind w:left="922" w:leftChars="0" w:hanging="440" w:firstLineChars="0"/>
      </w:pPr>
      <w:bookmarkStart w:id="630" w:name="_Toc19459"/>
      <w:r>
        <w:rPr>
          <w:rFonts w:cs="宋体" w:asciiTheme="majorEastAsia" w:hAnsiTheme="majorEastAsia" w:eastAsiaTheme="majorEastAsia"/>
          <w:b/>
          <w:bCs/>
          <w:sz w:val="24"/>
          <w:szCs w:val="24"/>
          <w:lang w:val="en-US" w:eastAsia="zh-CN" w:bidi="ar-SA"/>
        </w:rPr>
        <w:t>105.</w:t>
      </w:r>
      <w:r>
        <w:rPr>
          <w:rFonts w:hint="eastAsia"/>
        </w:rPr>
        <w:t>《关于完善外贸金融服务的指导意见》</w:t>
      </w:r>
      <w:bookmarkEnd w:id="630"/>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发文机构：商务部；中国银行保险监督管理委员会（已撤销）；国家外汇管理局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文号：银保监发〔2019〕49号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保监局，各省、自治区、直辖市、计划单列市及新疆生产建设兵团商务主管部门，国家外汇管理局各省、自治区、直辖市分局、外汇管理部，国家外汇管理局深圳、大连、青岛、厦门、宁波市分局，各政策性银行、大型银行、股份制银行，邮储银行，外资银行，出口信保公司，各财产保险公司，银行业协会，保险业协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为引导银行保险机构在依法合规、风险可控、商业可持续的前提下，进一步加强和改进外贸金融服务，补齐服务短板，提升服务质效，现提出以下意见。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、总体要求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增强服务意识。银行保险机构应充分认识稳外贸对服务供给侧结构性改革、落实“一带一路”倡议、实现我国与重点国家和地区双边贸易平衡增长的重要作用，深化改革、优化结构、回归本源、专注主业，将支持外贸发展作为服务实体经济的重要着力点，加强对有订单、有市场、有信用企业的金融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突出服务重点。银行保险机构应认真贯彻落实国家外贸发展政策，继续做好大宗商品、机电设备、劳动密集型产品、加工贸易等传统优势领域金融服务，持续加大对服务贸易、跨境电子商务、制造业转型升级和梯度转移、国际产能和装备制造合作、国际营销和售后服务体系建设、企业产业链全球布局、外贸品牌建设、中欧班列发展和铁路运单（提单）应用、通关便利化、市场采购贸易方式、国家进口贸易促进创新示范区建设等新业态、新领域的服务力度，培育外贸竞争新优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（三）加强风险管理。银行保险机构应根据各类外贸金融业务特点，有效识别风险点，始终将贸易背景审核作为外贸金融业务风险管理的基础，从源头做好风险防范，有针对性地加强风险管理。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、完善产品和服务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完善金融综合服务。鼓励银行保险机构紧跟外贸发展趋势，结合宏观经济环境变化、结算方式变化、贸易流程特点、应收账款可控程度、市场需求和自身展业能力，合理利用境内外市场资源，积极开展外贸金融服务，提供支付结算、融资融信、财务规划、风险管理、关税保证保险、出口信用保险等外贸金融产品服务和外贸金融整体解决方案。鼓励银行推动内外贸、本外币、境内外业务融合发展，满足外贸企业国内生产组织需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创新应收账款融资。鼓励银行在审慎评估应收账款真实性和稳定性、有效把控应收账款常态余额水平的前提下，开展外贸应收账款融资及相关业务创新，实现授信、放款、还款的灵活安排，适应外贸“单多量小、周转较快”的特点。鼓励银行在有效把控出口退税账户变更情况等基础上开展出口退税账户相关融资，未退税款可视同企业应收账款一并进行质押融资。鼓励银行在有效把控供应链信息流、物流、资金流和完善交易结构的基础上，围绕核心企业开展面向上下游的境内外供应链金融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积极开展保单融资。鼓励银行结合企业需求和自身风险管理要求，积极扩大出口信用保险保单融资规模。开展其他外贸金融服务时，银行可结合企业持有的出口信用保险保单综合考虑授信风险。鼓励银保双方深化互信合作、信息共享、系统对接，围绕更好发挥出口信用保险风险缓释作用和融资功能开展产品服务创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创新服务贸易融资。鼓励银行保险机构充分把握服务贸易企业“轻资产”特点，积极借鉴国际经验，在真实性审核的基础上，提供服务贸易金融产品服务，持续加大对旅游、运输、建筑等传统服务贸易和通信、计算机与信息服务、咨询、研发设计、知识产权、节能、检验检测认证、环境、会展、文化创意、数字出版、动漫游戏等新兴服务贸易的支持力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积极开展小微外贸企业金融服务。鼓励银行保险机构搭建并充分利用线上线下渠道深入了解小微外贸企业金融需求和生产经营信息，开发特色产品服务。鼓励银行保险机构对接经营规范、信誉良好的外贸综合服务平台，借助其增信功能和在企业生产、交易、通关、退税等方面的信息优势，为更多小微外贸企业提供金融服务。积极做好符合信贷条件的小微外贸企业续贷工作，确保不发生不合理的抽贷、断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提供多样化风险对冲产品。鼓励符合条件的银行深入了解客户需求，提升做市商能力，创新风险对冲产品和服务，在依法合规的前提下通过人民币外汇即期和衍生品、跨境人民币结算、利率衍生品、大宗商品衍生品等助力外贸企业管理市场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（十）规范发展外贸金融资产交易。鼓励银行在依法合规、风险可控的前提下开展外贸金融资产转让，释放出的信贷规模应优先用于支持外贸发展。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、加强贸易背景审核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深刻把握贸易背景审核实质。银行应充分认识外贸金融业务的自偿性特征和贸易背景审核对实现自偿性的重要保障作用，始终将贸易背景审核作为外贸金融业务风险管理的基础，将贸易回款作为贸易融资业务的第一还款来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前移贸易背景审核关口。银行应在客户准入阶段通过本行境外机构、合作行及其境外机构、其他境内外非银合作机构等尽可能了解企业贸易记录、买卖双方履约记录等情况，事先对企业资质进行分析判断，为确认企业当前贸易逻辑合理性、贸易内容真实性等提供依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三）加强票据单证信息核对。银行应充分利用海关、税务、外汇、动产登记等平台对贸易相关票据单证真实性和有效性进行确认。对于提单、仓单、铁路运单（提单），银行可通过国际海事局、信誉资质较好的船运公司、仓储公司、铁路公司等对相关信息进行核验。自贸试验区内依法设立的交易所出具的合格交易凭证，可作为贸易真实性审核依据。鼓励银行结合自身实际，建立集约化贸易单证审核体系，定期对审单质量进行检查，对关键单证信息在全行范围内进行共享和校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、提升风险管理水平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（十四）加强全面风险管理。银行保险机构应加强外贸金融业务的全面风险管理，将风险管理有机融入贷前、贷中、贷后等各个环节，有针对性地加强信用风险、市场风险、操作风险、国别风险、合规风险管理。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五）科学评估和缓释小微外贸企业风险。鼓励银行建立适合小微外贸企业的尽职调查方式，综合考虑小微外贸企业生产经营信息及其贸易逻辑合理性，科学审慎评估小微外贸企业资信状况。鼓励银行在完备的尽职调查基础上，通过出口信用保险、融资担保、风险补偿基金等方式缓释风险，适度降低传统抵质押手段比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六）加强保单融资风险管理。鼓励保险公司发挥在资信调查、国别风险研究等方面的优势，积极向银行提供客户贸易背景和违约相关信息。保险公司应合理设定并向银行充分说明出口信用保险保单除外责任，清晰界定各方责任，及时履行赔付责任。银行应根据保单信用限额、最高赔偿金额、索赔期限、适保范围及除外责任等合理评估保单风险缓释效力，不应为减少资本占用或因享有赔款权益而不合理地降低客户准入标准和贸易背景审核标准。鼓励银行开展基于出口信用保险的银担合作并做好担保机构名单制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（十七）完善风险分担机制。鼓励银行通过银团贷款、出口信用保险、融资担保等方式分散外贸金融业务风险。银行应切实履行自身在风险管理中的义务，不可因采取风险分担措施而放松管理。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、强化内部管理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八）明确定位目标。银行保险机构应根据业务专长、客户结构、风险偏好等确定外贸金融业务在自身发展中的地位和作用，完善相应战略规划。鼓励有条件的银行将外贸金融业务打造为拓展客户、改善收入结构、提升国际化水平、推动经营转型的重要支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九）加强内部协同。鼓励银行加强前中后台部门间业务配合和人员交流，形成推进外贸金融业务发展的合力。中后台部门应加强对前台业务的了解，对前台部门在资金分配和定价、授信审批、风险管理、人员配置等方面的合理诉求给予支持。前台部门应主动将中后台部门在合规和风险管理等方面的要求融入日常业务操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（二十）完善绩效考核。进行绩效考核时，银行应充分考虑外贸金融业务专业性强、流程复杂、周期短、资本占用少等特点，合理设定考核指标，着重突出激励导向。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一）落实尽职免责要求。银行保险机构应建立健全外贸金融业务的尽职免责和容错纠错机制，重点明确对分支机构和基层人员的尽职免责认定标准和免责条件，设立内部问责申诉通道。对已尽职但出现风险的外贸金融业务，可免除相关人员全部或部分责任。对企业虚构贸易骗取融资或恶意投保，支持银行保险机构通过司法渠道依法进行追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（二十二）实施差异化管理。对管理水平较高、业务需求较为突出的分支机构，银行可在风险可控的前提下适度扩大授权，单设信贷规模，单独匹配风险资产，推动外贸金融业务发展。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三）完善内部管理体制。鼓励银行保险机构结合发展需要进行外贸金融管理体制改革，加大资源倾斜力度，营造良好发展环境。支持有条件的银行设立专业部门、地区专业分支机构，进一步提升专业化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四）完善跨境服务网络。鼓励符合条件的银行保险机构重点在成熟市场、潜力较大的新兴市场、“一带一路”沿线完善服务网络，加强内外联动。鼓励银行保险机构加强同境外同业机构合作，提升跨境服务能力。鼓励保险机构加快建设和完善海外承保、理赔、救援等境外服务网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五）加强信息技术应用。鼓励银行保险机构进一步加强业务系统建设，通过银企直连、银保直连，实现贸易信息快速交换和线上贸易背景审核。鼓励银行保险机构整合线上线下服务资源，为客户提供更多在线自助办理业务的通道，提升服务效率。鼓励银行保险机构加强外贸金融业务数据积累与分析，为风险识别、计量、监测、管控及业务资源配置提供必要支撑。鼓励银行保险机构积极探索大数据、区块链、生物识别、人工智能等现代信息技术在外贸金融业务中的应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（二十六）加强团队建设。银行保险机构应根据外贸金融业务发展需要配足专业人员。鼓励银行保险机构大力培养熟悉贸易规则、产品设计、风险管理等的复合型外贸金融人才，做好人力储备。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 、加强组织保障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七）提升监管服务水平。根据外贸金融业务实际发展需求，监管部门应不断完善管理，在有效管控风险的同时，支持银行保险机构业务发展。在制定审慎监管规则、开展监管工作时，监管部门应适应单证影印件、电子合同、电子订单、电子发票等电子数据运用的趋势，允许银行保险机构以真实、合规的电子数据代替相应的纸质文本，并对其外贸金融领域业务创新诉求及时予以回应。</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八）加强信息平台建设。积极推进国际贸易“单一窗口”建设，统一地区间“单一窗口”建设标准并实现互联互通，推动海关、税务、边检、外汇等信息向“单一窗口”集中并为银行保险机构提供查询接口，允许银行保险机构在经客户授权后查询相关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（二十九）发挥自律组织作用。银行业和保险业自律组织应加强调研，深入了解银行保险机构外贸金融业务诉求，在推动完善法律法规、规范展业标准、运用金融科技建设贸易金融信息平台等方面发挥积极作用。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其他保险公司和其他非银行金融机构开展外贸金融业务时可参照执行。</w:t>
      </w:r>
    </w:p>
    <w:p>
      <w:pPr>
        <w:spacing w:after="156" w:afterLines="50" w:line="360" w:lineRule="auto"/>
        <w:ind w:firstLine="482" w:firstLineChars="200"/>
        <w:rPr>
          <w:rFonts w:cs="宋体" w:asciiTheme="majorEastAsia" w:hAnsiTheme="majorEastAsia" w:eastAsiaTheme="majorEastAsia"/>
          <w:b/>
          <w:bCs/>
        </w:rPr>
        <w:sectPr>
          <w:endnotePr>
            <w:numFmt w:val="decimal"/>
          </w:endnotePr>
          <w:pgSz w:w="11906" w:h="16838"/>
          <w:pgMar w:top="1440" w:right="1800" w:bottom="1440" w:left="1800" w:header="851" w:footer="992" w:gutter="0"/>
          <w:cols w:space="720" w:num="1"/>
          <w:docGrid w:type="lines" w:linePitch="312" w:charSpace="0"/>
        </w:sectPr>
      </w:pPr>
    </w:p>
    <w:p>
      <w:pPr>
        <w:pStyle w:val="2"/>
        <w:numPr>
          <w:ilvl w:val="0"/>
          <w:numId w:val="0"/>
        </w:numPr>
        <w:ind w:left="922" w:leftChars="0" w:hanging="440" w:firstLineChars="0"/>
      </w:pPr>
      <w:bookmarkStart w:id="631" w:name="_Toc22315"/>
      <w:r>
        <w:rPr>
          <w:rFonts w:cs="宋体" w:asciiTheme="majorEastAsia" w:hAnsiTheme="majorEastAsia" w:eastAsiaTheme="majorEastAsia"/>
          <w:b/>
          <w:bCs/>
          <w:sz w:val="24"/>
          <w:szCs w:val="24"/>
          <w:lang w:val="en-US" w:eastAsia="zh-CN" w:bidi="ar-SA"/>
        </w:rPr>
        <w:t>106.</w:t>
      </w:r>
      <w:r>
        <w:rPr>
          <w:rFonts w:hint="eastAsia"/>
        </w:rPr>
        <w:t>《关于加快优化金融信贷营商环境的意见》</w:t>
      </w:r>
      <w:bookmarkEnd w:id="631"/>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发文机构：北京市地方金融监督管理局（已撤销）、中国人民银行营业管理部(北京)、中国银行保险监督管理委员会北京监管局（已撤销）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文号：京金融〔2020〕31号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为进一步优化金融信贷营商环境，切实减少疫情影响，促进实体经济持续健康发展，现提出以下意见。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、保持信贷供给稳定增长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引导辖内金融机构加大信贷投放支持实体经济发展，力争2020年新增贷款同比多增。积极营造敢贷、愿贷、能贷政策环境，力争全年普惠小微贷款增速较各项贷款增速高10个百分点，其中国有大型银行普惠小微贷款增速不低于20%。(责任单位：人行营管部、北京银保监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、降低小微企业综合融资成本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推动2020年全市普惠小微贷款综合融资成本较2019年再下降0.5个百分点，政府性融资担保公司平均担保费率较2019年再下降0.5个百分点，严格执行小微企业金融服务收费的各项监管政策，切实降低小微企业综合融资成本。(责任单位：人行营管部、北京银保监局、市金融监管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、加大政策资金支持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积极提供再贴现资金支持，力争2020年办理再贴现累计不低于300亿元。其中，办理民营、小微企业再贴现金额占比不低于80%。通过人民银行支小再贷款向金融机构提供低成本资金，加大对民营、小微企业优惠利率信贷支持。(责任单位：人行营管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、进一步发挥融资担保体系作用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进一步增强融资担保体系服务能力，加大对融资担保机构的监管指导和政策评估，政府性融资担保机构服务科创、民营、小微企业的业务占比不低于80%，2020年融资担保余额较2019年同比增长10%。(责任单位：市金融监管局、北京银保监局、市财政局、市经济和信息化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、建立金融服务快速响应机制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建立金融服务快速响应公共服务平台，充分发挥金融科技作用，进一步加强智能金融、移动金融等服务方式，针对民营、小微、科创、文创等企业不同阶段多样化、多品种金融服务需求，补足政策短板，加强各种金融资源聚合，提供金融综合服务，实现政府引导、直接对接、精准服务、及时反馈。(责任单位：市金融监管局、人行营管部、北京银保监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 、畅通金融服务通道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实施“网上畅融工程”，拓展“畅融工程”微信公众号线上智能化服务，进一步推动金融机构与企业及时高效对接。建立线上续贷机制，做到能续快续、应续尽续。推动“畅融工程”与首贷中心、续贷中心、“银企对接系统”、小微企业金融综合服务平台相结合，进一步提高首贷、续贷、信用贷款和中长期贷款效能。(责任单位：市金融监管局、北京银保监局、人行营管部、北京金控集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 、大幅减少信贷申请材料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引导银行业金融机构优化贷款审批流程、提高贷款审批效率。积极推广金融业务电子化申请和办理，建立基于区块链的企业电子身份认证信息系统，最大程度减少信贷申请材料，推动客户申请材料互认，避免“重复证明”。(责任单位：北京银保监局、人行营管部、市金融监管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 、加强金融科技在信贷服务中的应用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充分发挥北京市大数据平台的支撑作用，推动与信贷密切相关的不动产登记、税务、市场监管等信息与金融管理部门、金融机构开放共享。积极探索智能审批、线上放贷等金融科技应用创新，推出一批试点项目进入“监管沙箱”。(责任单位：市经济和信息化局、市税务局、市市场监管局、人行营管部、北京银保监局、市金融监管局、北京金控集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 、全面推进不动产抵押登记在线办理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扩大不动产抵押登记在线办理范围，缩短抵押贷款审批周期，降低小微企业融资成本。全面推进不动产抵押贷款登记“一站式”办理，将登记服务场所持续延伸至银行网点，实现小微企业抵押贷款“一门、一次”办理。完善贷款流程，加强信息共享，进一步简化贷款申请材料。(责任单位：北京银保监局、市规划自然资源委)</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 、开展财务公司供应链金融试点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依托供应链金融公共服务平台，发挥大企业集团财务公司作用，积极支持符合条件的企业集团财务公司，开展票据贴现、应收账款保理等延伸产业链金融业务，开展买方信贷等融资服务，支持实体经济。(责任单位：北京银保监局、人行营管部、市金融监管局、北京金控集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 、推广政府采购订单融资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进一步推动市区两级政府采购平台与应收账款融资服务平台、小微企业金融综合服务平台对接，支持金融机构开展基于政府采购的订单融资。督导政府采购部门配合提供融资的金融机构锁定还款来源，将财政采购款项支付到金融机构指定的供应商对公账户，并与相关金融机构及时共享政府采购款项支付进度信息。力争2020年完成政府采购订单融资100亿元。(责任单位：人行营管部、市财政局、北京金控集团、北京银保监局、市金融监管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 、加大对受疫情影响企业的信贷支持力度</w:t>
      </w:r>
    </w:p>
    <w:p>
      <w:pPr>
        <w:spacing w:after="156" w:afterLines="50" w:line="360" w:lineRule="auto"/>
        <w:ind w:firstLine="480" w:firstLineChars="200"/>
        <w:rPr>
          <w:rFonts w:cs="宋体" w:asciiTheme="majorEastAsia" w:hAnsiTheme="majorEastAsia" w:eastAsiaTheme="majorEastAsia"/>
        </w:rPr>
        <w:sectPr>
          <w:endnotePr>
            <w:numFmt w:val="decimal"/>
          </w:endnotePr>
          <w:pgSz w:w="11906" w:h="16838"/>
          <w:pgMar w:top="1440" w:right="1800" w:bottom="1440" w:left="1800" w:header="851" w:footer="992" w:gutter="0"/>
          <w:cols w:space="720" w:num="1"/>
          <w:docGrid w:type="lines" w:linePitch="312" w:charSpace="0"/>
        </w:sectPr>
      </w:pPr>
      <w:r>
        <w:rPr>
          <w:rFonts w:hint="eastAsia" w:cs="宋体" w:asciiTheme="majorEastAsia" w:hAnsiTheme="majorEastAsia" w:eastAsiaTheme="majorEastAsia"/>
        </w:rPr>
        <w:t>对受新冠肺炎疫情影响的企业，积极落实人民银行专项再贷款等金融政策，对新增贷款安排专项信贷额度、开通绿色审批通道、给予特别利率优惠，相关信贷申请“特事特办”，简化流程，尽快发放；对存续贷款安排专人对接服务，确保不抽贷、不断贷、不压贷，对到期还款困难的及时予以展期、续贷、下调利息等支持。及时总结疫情防控时期帮扶受困企业的好做法，好经验，将其固化为优化信贷营商环境的长效机制。(责任单位：人行营管部、北京银保监局、市金融监管局)</w:t>
      </w:r>
    </w:p>
    <w:p>
      <w:pPr>
        <w:pStyle w:val="2"/>
        <w:numPr>
          <w:ilvl w:val="0"/>
          <w:numId w:val="0"/>
        </w:numPr>
        <w:ind w:left="922" w:leftChars="0" w:hanging="440" w:firstLineChars="0"/>
      </w:pPr>
      <w:bookmarkStart w:id="632" w:name="_Toc31610"/>
      <w:r>
        <w:rPr>
          <w:rFonts w:cs="宋体" w:asciiTheme="majorEastAsia" w:hAnsiTheme="majorEastAsia" w:eastAsiaTheme="majorEastAsia"/>
          <w:b/>
          <w:bCs/>
          <w:sz w:val="24"/>
          <w:szCs w:val="24"/>
          <w:lang w:val="en-US" w:eastAsia="zh-CN" w:bidi="ar-SA"/>
        </w:rPr>
        <w:t>107.</w:t>
      </w:r>
      <w:r>
        <w:rPr>
          <w:rFonts w:hint="eastAsia"/>
        </w:rPr>
        <w:t>《对中小微企业贷款实施临时性延期还本付息的通知》</w:t>
      </w:r>
      <w:bookmarkEnd w:id="632"/>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发文机构：中国银行保险监督管理委员会（已撤销）,中国人民银行，国家发展和改革委员会，工业和信息化部，财政部</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文号：银保监发〔2020〕6号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保监局，中国人民银行上海总部，各分行、营业管理部，各省会（首府）城市中心支行，各副省级城市中心支行，各省（自治区、直辖市及计划单列市）发展改革委，新疆生产建设兵团发展改革委，各省（自治区、直辖市及计划单列市）中小企业主管部门，新疆生产建设兵团中小企业主管部门，各省（自治区、直辖市）财政厅（局），新疆生产建设兵团财政局，各政策性银行、大型银行、股份制银行，外资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深入贯彻落实党中央、国务院关于新冠肺炎疫情防控和应对工作的决策部署，进一步纾解中小微企业困难，推动企业有序复工复产，提高金融服务的针对性、有效性，有关部门作了深入研究，确定按照市场化、法治化原则，对符合条件、流动性遇到暂时困难的中小微企业贷款，给予临时性延期还本付息安排。经国务院同意，现就有关事宜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、关于贷款到期本金安排</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对于2020年1月25日以来到期的困难中小微企业（含小微企业主、个体工商户）贷款本金，银行业金融机构应根据企业延期还本申请，结合企业受疫情影响情况和经营状况，通过贷款展期、续贷等方式，给予企业一定期限的临时性延期还本安排。还本日期最长可延至2020年6月30日。对于少数受疫情影响严重、恢复周期较长且发展前景良好的中小微企业，银行业金融机构可根据实际情况与企业协商确定另外的延期安排。上述贷款涉及担保的，银行业金融机构应与企业、担保人等协商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、关于贷款利息支付安排</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对于2020年1月25日至6月30日中小微企业需支付的贷款利息，银行业金融机构应根据企业延期付息申请，结合其受疫情影响的实际情况，给予企业一定期限的延期付息安排。贷款付息日期最长可延至2020年6月30日，免收罚息。延期利息的具体偿还计划，由银行业金融机构与企业双方自主协商、合理确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、关于湖北地区特殊安排</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湖北地区各类企业适用上述政策。银行业金融机构应为湖北地区配备专项信贷规模，实施内部资金转移定价优惠，力争2020年普惠型小微企业综合融资成本较上年平均水平降低1个百分点以上。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、关于企业新增融资安排</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业金融机构应积极对接中小微企业融资需求，建立绿色通道，简化贷款审批流程，适度下放审批权限，应贷尽贷快贷。要改进绩效考评、尽职免责等内部资源配置和政策安排，努力提高小微企业信用贷款、中长期贷款占比和“首贷率”。地方法人银行应主动申请人民银行的新增再贷款、再贴现额度，积极配合政策性银行的新增信贷计划，以优惠利率向民营、中小微企业发放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、落实要求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做好需求对接。银行业金融机构应积极对接企业贷款延期还本付息需求，开通线下和线上（网上银行、手机银行、电话银行）等多种渠道，为企业延期还本付息申请提供便利。要及时受理企业申请，限时回复办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明确支持重点。银行业金融机构应合理评估企业状况，调整完善企业还本付息安排，重点支持前期经营正常、受疫情影响遇到暂时困难、发展前景良好的中小微企业。对于受疫情影响特别严重、遇到特殊困难的行业，例如交通运输、批发零售、文化娱乐、住宿餐饮等，银行业金融机构应根据实际情况，给予适当倾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有效防范风险。银行业金融机构应对临时性延期还本付息贷款进行专门统计、密切监测，对于贷款期间企业经营出现实质性变化的，及时予以相应处置。同时，应完善反欺诈模型运用，推进信息共享联防。一旦发现弄虚作假等违法违规行为，应立即停止融资支持，并通过上报征信、诉讼等惩戒措施，有效防控道德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 、有关配套政策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对于上述临时性延期还本付息的贷款，银行业金融机构应坚持实质性风险判断，不因疫情因素下调贷款风险分类，不影响企业征信记录。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人民银行综合运用公开市场操作、中期借贷便利、常备借贷便利、再贷款、再贴现等货币政策工具，保持银行体系流动性合理充裕，维持银行负债端平稳接续。</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各级财政部门对于国有控股和参股的银行业金融机构2020年的经营考核，应充分考虑应对疫情、服务中小微企业的特殊因素，给予合理评价。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银保监会人民银行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发展改革委工业和信息化部财政部</w:t>
      </w:r>
    </w:p>
    <w:p>
      <w:pPr>
        <w:spacing w:after="156" w:afterLines="50" w:line="360" w:lineRule="auto"/>
        <w:ind w:firstLine="480" w:firstLineChars="200"/>
        <w:rPr>
          <w:rFonts w:cs="宋体" w:asciiTheme="majorEastAsia" w:hAnsiTheme="majorEastAsia" w:eastAsiaTheme="majorEastAsia"/>
        </w:rPr>
        <w:sectPr>
          <w:endnotePr>
            <w:numFmt w:val="decimal"/>
          </w:endnotePr>
          <w:pgSz w:w="11906" w:h="16838"/>
          <w:pgMar w:top="1440" w:right="1800" w:bottom="1440" w:left="1800" w:header="851" w:footer="992" w:gutter="0"/>
          <w:cols w:space="720" w:num="1"/>
          <w:docGrid w:type="lines" w:linePitch="312" w:charSpace="0"/>
        </w:sectPr>
      </w:pPr>
      <w:r>
        <w:rPr>
          <w:rFonts w:hint="eastAsia" w:cs="宋体" w:asciiTheme="majorEastAsia" w:hAnsiTheme="majorEastAsia" w:eastAsiaTheme="majorEastAsia"/>
        </w:rPr>
        <w:t>2020年3月1日</w:t>
      </w:r>
    </w:p>
    <w:p>
      <w:pPr>
        <w:pStyle w:val="2"/>
        <w:numPr>
          <w:ilvl w:val="0"/>
          <w:numId w:val="0"/>
        </w:numPr>
        <w:ind w:left="922" w:leftChars="0" w:hanging="440" w:firstLineChars="0"/>
      </w:pPr>
      <w:bookmarkStart w:id="633" w:name="_Toc6443"/>
      <w:r>
        <w:rPr>
          <w:rFonts w:cs="宋体" w:asciiTheme="majorEastAsia" w:hAnsiTheme="majorEastAsia" w:eastAsiaTheme="majorEastAsia"/>
          <w:b/>
          <w:bCs/>
          <w:sz w:val="24"/>
          <w:szCs w:val="24"/>
          <w:lang w:val="en-US" w:eastAsia="zh-CN" w:bidi="ar-SA"/>
        </w:rPr>
        <w:t>108.</w:t>
      </w:r>
      <w:r>
        <w:rPr>
          <w:rFonts w:hint="eastAsia"/>
        </w:rPr>
        <w:t>《中国银保监会办公厅关于加强产业链协同复工复产金融服务的通知》</w:t>
      </w:r>
      <w:bookmarkEnd w:id="63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发文机构：中国银行保险监督管理委员会(已撤销)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文号：银保监办发〔2020〕28号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为深入贯彻落实党中央、国务院关于统筹推进新冠肺炎疫情防控和经济社会发展工作的决策部署，进一步加大金融服务实体经济力度，推动产业链协同复工复产，现就有关事宜通知如下。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、加大产业链核心企业金融支持力度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银行业金融机构要强化产业链核心企业金融服务，加大流动资金贷款等经营周转类信贷支持，给予合理信用额度。支持核心企业通过信贷、债券等方式融资后，以适当方式减少对上下游企业的资金占用，帮助产业链上下游中小微企业解决流动资金紧张等问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提高核心企业信贷资金向上游企业的支付效率。银行业金融机构应提高核心企业信贷业务办理效率，将符合受托支付要求的贷款直接支付给核心企业上游企业。以银行信贷资金及时清偿上游企业的应付款项或向上游企业支付预付款，减少产业链账款拖欠或资金占用，加快上游企业资金回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支持核心企业为下游企业提供延期付款便利。银行业金融机构可通过及时为核心企业收到的下游企业支付的商业汇票办理贴现，或为核心企业办理应收账款融资、应收票据融资，提高核心企业销售资金回笼效率，帮助下游企业提前获得商品，减轻下游企业现金流压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（四）强化核心企业信用约束。落实核心企业的信用责任，在融资合同条款中可明确核心企业在获得信贷资金后及时向企业付款的责任和义务。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、优化产业链上下游企业金融服务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加强对核心企业上游企业的信贷支持。银行业金融机构可通过应收账款、应收票据等融资方式，为上游企业解决先货后款模式下的资金占用问题；也可以上游企业所获订单为基础进行订单融资，满足上游企业经营周转需要。银行业金融机构开展应收账款融资时应办理质押、转让登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强化对核心企业下游企业的信贷支持。银行业金融机构可通过开立银行承兑汇票、国内信用证、预付款融资等方式，为下游企业获取货物、支付货款提供信贷支持；也可在下游企业已获取货物的情况下，通过存货与仓单质押融资等方式缓解存货积压形成的资金压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优化供应链融资业务办理流程。在核心企业承担付款责任或提供担保、回购、差额补足等增信措施的前提下，上下游企业办理供应链融资业务时，银行业金融机构可适度简化客户评级准入等流程，纳入核心企业统一授信管理，使用核心企业授信额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加大疫情防控期间对相关企业的金融支持力度。疫情防控期间，对于核心企业上游企业，可适当提高应收账款、应收票据或订单融资比例；对于核心企业下游企业，可适当提高预付款融资或存货与仓单质押融资比例。对暂时受到疫情影响、信用状况良好的企业，可适当降低银行承兑汇票的保证金比例和适度减免手续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、加强金融支持全球产业链协同发展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（九）银行业金融机构要强化金融支持“稳外贸”作用，增加外贸信贷投放，对优质外贸企业授信和支用放款建立“绿色通道”，合理确定分支机构授权，提高效率。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（十）鼓励银行业金融机构完善跨境服务网络，与境外同业机构合作，共同为全球产业链提供信用支持和融资服务。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（十一）落实好中小微企业贷款临时性延期还本付息等政策。鼓励保险机构进一步拓宽短期出口信用保险覆盖面，在风险可控的前提下，适当降低费率。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、提升产业链金融服务科技水平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鼓励银行业金融机构开发供应链业务系统，通过线上线下相结合的方式，为企业提供方便快捷的供应链融资服务。鼓励银行业金融机构通过与政府机构、核心企业相关系统实时交互交易数据，建立交易风控模型，创新供应链金融模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三）在依法合规、风险可控的前提下，有条件的银行业金融机构可探索创新产业链金融服务产品，研究开发服务电商平台、物流等领域大型核心企业的金融产品。主要依靠互联网运营的银行可运用大数据风控技术加强对产业链上民营小微企业线上贷款支持，鼓励大中型银行、政策性银行按照市场化、法治化原则加强与此类银行的业务合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、完善银行业金融机构考核激励和风险控制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四）完善供应链融资业务的考核激励。银行业金融机构立足自身实际，对产业链协同复工复产相关授信予以差别化安排，完善激励机制，对供应链融资业务在信贷规模、经济资本考核和内部资金转移价格等方面予以适当倾斜。落实尽职免责安排，加快处置不良贷款，核销不良贷款处置损失。</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五）加强产业链金融服务的风险控制。银行业金融机构应明确核心企业准入标准，认真审核核心企业融资需求和贷款用途，加强对信贷资金流向的有效监督。加强押品管理，有效控制存货质押融资风险。合理确定供应链融资整体合作额度，严格审核供应链交易背景，必要时要求核心企业承担账款回购或商品回购责任。通过专户管理、协议扣款或受托支付等手段，监控应收账款回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 、加大保险和担保服务支持力度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六）鼓励保险机构和政策性担保机构在风险可控的前提下为产业链上下游中小微企业获取融资提供增信服务。鼓励保险机构针对核心企业上下游的风险特征，提供抵质押、纯信用等多种形式的保证保险业务，进一步加大贸易信用保险的承保覆盖面，拓宽企业融资的增信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七）人身保险公司在风险可控的前提下可适度延长保单质押贷款期限，提升贷款额度，帮助客户缓解短期资金压力，支持小微企业复工复产。针对疫情发生以来物流受阻情况，保险机构可适当顺延疫情期间停运的营运车辆、船舶、飞机的保险期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银保监会将加强督促指导，持续推动银行保险机构加强产业链协同复工复产金融服务。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2020年3月26日</w:t>
      </w:r>
    </w:p>
    <w:p>
      <w:pPr>
        <w:spacing w:after="156" w:afterLines="50" w:line="360" w:lineRule="auto"/>
        <w:ind w:firstLine="480" w:firstLineChars="200"/>
        <w:rPr>
          <w:rFonts w:cs="宋体" w:asciiTheme="majorEastAsia" w:hAnsiTheme="majorEastAsia" w:eastAsiaTheme="majorEastAsia"/>
        </w:rPr>
        <w:sectPr>
          <w:endnotePr>
            <w:numFmt w:val="decimal"/>
          </w:endnotePr>
          <w:pgSz w:w="11906" w:h="16838"/>
          <w:pgMar w:top="1440" w:right="1800" w:bottom="1440" w:left="1800" w:header="851" w:footer="992" w:gutter="0"/>
          <w:cols w:space="720" w:num="1"/>
          <w:docGrid w:type="lines" w:linePitch="312" w:charSpace="0"/>
        </w:sectPr>
      </w:pPr>
    </w:p>
    <w:p>
      <w:pPr>
        <w:pStyle w:val="2"/>
        <w:numPr>
          <w:ilvl w:val="0"/>
          <w:numId w:val="0"/>
        </w:numPr>
        <w:ind w:left="922" w:leftChars="0" w:hanging="440" w:firstLineChars="0"/>
      </w:pPr>
      <w:bookmarkStart w:id="634" w:name="_Toc19566"/>
      <w:r>
        <w:rPr>
          <w:rFonts w:cs="宋体" w:asciiTheme="majorEastAsia" w:hAnsiTheme="majorEastAsia" w:eastAsiaTheme="majorEastAsia"/>
          <w:b/>
          <w:bCs/>
          <w:sz w:val="24"/>
          <w:szCs w:val="24"/>
          <w:lang w:val="en-US" w:eastAsia="zh-CN" w:bidi="ar-SA"/>
        </w:rPr>
        <w:t>109.</w:t>
      </w:r>
      <w:r>
        <w:rPr>
          <w:rFonts w:hint="eastAsia"/>
        </w:rPr>
        <w:t>《关于进一步规范信贷融资收费降低企业融资综合成本的通知》</w:t>
      </w:r>
      <w:bookmarkEnd w:id="63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发文机构：中国银行保险监督管理委员会(已撤销)工业和信息化部发展改革委财政部人民银行市场监管总局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文号：银保监发〔2020〕18号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保监局，各省（自治区、直辖市及计划单列市）、新疆生产建设兵团工业和信息化主管部门，各省（自治区、直辖市及计划单列市）、新疆生产建设兵团发展改革委，各省（自治区、直辖市及计划单列市）财政厅（局）、新疆生产建设兵团财政局，中国人民银行上海总部、各分行、营业管理部、各省会（首府）城市中心支行，各省（自治区、直辖市及计划单列市）、新疆生产建设兵团市场监督管理局（厅、委），各政策性银行、大型银行、股份制银行，外资银行，金融资产管理公司，各保险集团（控股）公司、保险公司、保险资产管理公司，各会管单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近年来，银行业保险业认真贯彻党中央、国务院决策部署，持续加大减费让利力度，对缓解企业融资难融资贵发挥了积极作用，但仍存在不合理收费、贷存挂钩和强制捆绑搭售等问题。为进一步规范信贷融资各环节收费与管理，维护企业知情权、自主选择权和公平交易权，降低企业融资综合成本，更好服务实体经济高质量发展，现就有关事项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、信贷环节取消部分收费项目和不合理条件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取消信贷资金管理等费用。银行不得收取信贷资金受托支付划拨费。对于已划拨但企业暂未使用的信贷资金，不得收取资金管理费。对于小微企业信贷融资，不得在贷款合同中约定提前还款或延迟用款违约金，取消法人账户透支承诺费和信贷资信证明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严格执行贷存挂钩、强制捆绑搭售等禁止性规定。除存单质押贷款、保证金类业务外，不得将企业预存一定数额或比例的存款作为信贷申请获得批准的前提条件。不得要求企业将一定数额或比例的信贷资金转为存款。不得忽视企业实际需求将部分授信额度划为银行承兑汇票，或强制以银行承兑汇票等非现金形式替代信贷资金。不得在信贷审批时，强制企业购买保险、理财、基金或其他资产管理产品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提前开展信贷审核。银行应根据企业申请，在存量贷款到期前，提前做好信贷评估和审核，提高响应速度和审批时效。在企业生产经营、财务状况和外部环境等未发生明显恶化时，不得无故提出导致融资综合成本明显提高的新的增信要求；不得以断贷为由提高贷款利率，确保有资金需求的企业以合理成本获得贷款；不得继续对“僵尸企业”提供信贷支持，挤占银行可贷资金，推高其他企业融资成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、助贷环节合理控制融资综合成本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（四）明确银行收费事项。银行应在企业借款合同或服务协议中明确所收取利息和费用，不得在合同约定之外收取费用。对于第三方机构推荐的客户，银行应告知直接向本行提出信贷申请的程序和息费水平。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加强对第三方机构管理。银行应对合作的第三方机构实施名单制管理，由一级分行及以上层级审核第三方机构资质，并在合同中明确禁止第三方机构以银行名义向企业收取费用。银行应了解合作的第三方机构向企业收费情况，评估企业融资综合成本，不与收费标准过高的第三方机构合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实行“两个严禁”。银行应掌握支持信贷决策的客户信息，严禁将贷前调查和贷后管理的实质性职责交由第三方机构承担，防止导致间接推高融资成本。严禁银行将信贷资金划拨给合作的第三方机构，防止信贷资金被截留或挪用，减少企业实际可用资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、增信环节通过多种方式为企业减负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合理引入增信安排。银行应充分挖掘整合企业信用信息，支持通过与核心企业、政府部门的相关管理和信息系统对接，利用金融科技手段对客户信用准确画像，为供应链上下游企业提供方便快捷的服务。银行应根据企业资信和风险状况，确定与信贷相关的增信和专业服务安排，除特定标准化产品外，不得为企业指定增信和专业服务机构。在现有措施可有效覆盖风险的情况下，银行不得要求企业追加增信手段，推高融资综合成本。银行不得以向专业服务机构推荐客户的名义，向合作机构收取业务协办费用，导致企业融资费用增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由银行独立承担的费用，银行应全额承担。银行对企业垫付抵押登记费采取报销制的，应建立费用登记台账，由专人负责跟进。银行为授信评估目的引入外部数据、信息或评级的，不得要求企业支付相关费用。对于小微企业融资，以银行作为借款人意外保险第一受益人的，保险费用由银行承担。</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由企业与银行共同承担的费用，银行不得强制或以合同约定方式向企业转嫁。银行应根据企业风险状况引入差异化的强制执行公证安排，在双方合意的基础上与借款企业约定强制执行公证费承担方式，不得强制转嫁费用。对于小微企业信贷融资，鼓励银行主动承担强制执行公证费；以银行作为抵押物财产保险索赔权益人的，保险费用由银行和企业按合理比例共同承担。</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由企业独立承担的费用，银行、保险公司和融资担保公司等应采取措施最大限度减少企业支出。银行不得强制企业购买保证保险，不得因企业购买保证保险而免除自身风险管控责任。保险公司不得提供明显高于本公司同类或市场类似产品费率的融资增信产品，增加企业融资负担。融资担保公司应逐步减少反担保要求，确需引入反担保措施的，应综合评估企业实际担保成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、考核环节考虑企业融资成本因素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加强资金转移定价精细化管理。鼓励银行将贷款市场报价利率（LPR）内嵌到内部定价环节。在确定内部资金转移价格时，银行应在精准核算的基础上动态调整。对于小微企业信贷融资，鼓励银行加大内部资金转移定价优惠力度，进一步降低融资成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科学开展内部信用评级和拨备计提。银行内部信用评级要兼顾借款主体评级和债项评级，可参照外部评级结果。对于借款主体评级欠佳但债项评级高的信贷项目，银行可采取受托支付、封闭管理等方式控制风险，通过差异化定价降低企业融资成本。银行在计提拨备时应遵循会计和监管规定，综合考虑信贷违约率和违约损失率，结合宏观经济形势和企业经营前景等因素进行评估，避免拨备计提不科学导致企业资金成本上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三）内部考核应适当和精细。银行应完善综合经营绩效考核办法，避免业务条线和分支机构为实现不当绩效考核目标，采取贷存挂钩、强制捆绑搭售、附加不合理信贷条件等做法，增加企业融资成本。银行应对不同地区、不同类型企业信贷融资设置差异化考核目标，防止因过度追求低风险而导致参与方过多、融资链条过长，间接推高融资成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、完善融资收费管理，加强内控与审计监督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（十四）有效发挥公司治理机制作用。银行保险机构应不折不扣落实国家减费让利、减轻企业负担等政策要求，制定合理的年度经营目标和业务指标，提高管理效率，增收节支，保障股东合理利益。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五）完善融资收费管理制度。银行制定与调整服务价格应遵循公开、公平、诚实、信用的原则，合理测算各项服务支出，充分考虑市场因素进行综合决策，不得利用协议定价方式收取高于合理水平的费用。细化收费制度执行要求，针对不同适用情形实行差异化处理，避免分支机构在执行中“一刀切”。在业务合同中列明服务内容、价格和收费方式等，不得超出合同约定范围收取额外费用；对于先收费后服务、已收费但业务提前终止的，应确保收费与服务内容匹配。鼓励对小微企业实施差异化定价策略，按照保本微利原则厘定小微企业融资服务收费标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六）健全内部控制与监督。银行应实施收费管理分级授权机制，加强对分支机构的管控；因地区性差异确需实行差别化服务价格的，应由总行制定收费标准。完善信息系统，提高收费核算自动化处理能力，增加收费差错账务调整功能，及时更新系统设置，避免因系统漏洞或操作随意导致多收、误收。内审应涵盖收费管理制度与执行情况，审计频率不低于一般项目。加强对分支机构和员工管控，防止强制捆绑搭售、利益输送和收取回扣等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七）充分披露服务价格信息。通过营业场所、官方网站和手机APP等渠道，以清晰、醒目方式公示价格信息和优惠政策，保障企业知情权和自主选择权。定期评估所公示信息，及时更新服务收费项目和价格标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 、发挥跨部门监督合力和正向激励</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八）形成监督合力。各级工业和信息化主管部门牵头完善违规收费举报查处机制，明确跨部门信息共享、依法惩戒等工作制度，降低企业维权成本。行业主管部门统筹推进市场中介机构服务收费规范化。对于低成本融入资金而挪用套利的企业，经银行报告，人民银行将其纳入征信系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九）建立正向激励。各级工业和信息化主管部门推动深化产融合作，建设和推广全国产融信息对接平台，加强企业与项目白名单管理，为企业信贷融资提供信息支持。各级财政部门对于国有控股银行保险机构的经营考核，应体现贯彻落实国家有关降低企业融资成本的要求，给予合理评价。对严格执行各项政策要求的银行，人民银行应在流动性、资产证券化和小微企业专项金融债等方面予以支持；银保监会应在相应业务资格审查方面给予优先考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加强行业自律。银行业、保险业和融资担保业协会应倡导互利共赢的行业文化，落实信贷融资收费各项政策，切实降低企业成本。对于将信贷资金进行转贷或购买其他金融产品套利的，银行应在合同中明确借款人责任和相应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本通知自2020年6月1日起实施。信托公司、金融资产管理公司和汽车金融公司参照执行。</w:t>
      </w:r>
    </w:p>
    <w:p>
      <w:pPr>
        <w:spacing w:after="156" w:afterLines="50" w:line="360" w:lineRule="auto"/>
        <w:ind w:firstLine="482" w:firstLineChars="200"/>
        <w:rPr>
          <w:rFonts w:cs="宋体" w:asciiTheme="majorEastAsia" w:hAnsiTheme="majorEastAsia" w:eastAsiaTheme="majorEastAsia"/>
          <w:b/>
          <w:bCs/>
        </w:rPr>
        <w:sectPr>
          <w:endnotePr>
            <w:numFmt w:val="decimal"/>
          </w:endnotePr>
          <w:pgSz w:w="11906" w:h="16838"/>
          <w:pgMar w:top="1440" w:right="1800" w:bottom="1440" w:left="1800" w:header="851" w:footer="992" w:gutter="0"/>
          <w:cols w:space="720" w:num="1"/>
          <w:docGrid w:type="lines" w:linePitch="312" w:charSpace="0"/>
        </w:sectPr>
      </w:pPr>
    </w:p>
    <w:p>
      <w:pPr>
        <w:pStyle w:val="2"/>
        <w:numPr>
          <w:ilvl w:val="0"/>
          <w:numId w:val="0"/>
        </w:numPr>
        <w:ind w:left="922" w:leftChars="0" w:hanging="440" w:firstLineChars="0"/>
      </w:pPr>
      <w:bookmarkStart w:id="635" w:name="_Toc18700"/>
      <w:r>
        <w:rPr>
          <w:rFonts w:cs="宋体" w:asciiTheme="majorEastAsia" w:hAnsiTheme="majorEastAsia" w:eastAsiaTheme="majorEastAsia"/>
          <w:b/>
          <w:bCs/>
          <w:sz w:val="24"/>
          <w:szCs w:val="24"/>
          <w:lang w:val="en-US" w:eastAsia="zh-CN" w:bidi="ar-SA"/>
        </w:rPr>
        <w:t>110.</w:t>
      </w:r>
      <w:r>
        <w:rPr>
          <w:rFonts w:hint="eastAsia"/>
        </w:rPr>
        <w:t>《关于2020年推动小微企业金融服务“增量扩面、提质降本”有关工作的通知》</w:t>
      </w:r>
      <w:bookmarkEnd w:id="63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发文机构：中国银行保险监督管理委员会办公厅（已撤销）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文号：银保监办发〔2020〕29号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各银保监局，各政策性银行、大型银行、股份制银行、外资银行，各保险公司：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为贯彻落实党中央、国务院关于统筹推进新冠肺炎疫情防控和经济社会发展、强化“六稳”举措、进一步缓解企业融资难融资贵问题的重要决策部署，现就2020年小微企业金融服务有关工作通知如下：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、明确总体目标，努力实现小微企业金融服务“增量扩面、提质降本”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努力实现2020年银行业小微企业（含小微企业主、个体工商户）贷款“增量、扩面、提质、降本”的总体目标。“增量”是单户授信总额1000万元以下（含）的普惠型小微企业贷款确保实现“两增”，即贷款较年初增速不低于各项贷款增速、有贷款余额的户数不低于年初水平。“扩面”是指增加获得银行贷款的小微企业户数，着力提高当年新发放小微企业贷款户中“首贷户”的占比。“提质”是指提升小微企业信贷服务便利度和满意度，努力提高信用贷款和续贷业务占比。“降本”是指进一步推动降低普惠型小微企业贷款的综合融资成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、强化分类考核督促，把握好小微企业信贷投放总量与节奏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（一）大型银行、股份制银行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家国有大型银行力争普惠型小微企业贷款余额上半年同比增速不低于30%；邮储银行和股份制银行努力完成“两增”目标。2019年完成“两增”（或普惠型小微企业信贷计划）及利率指导目标、普惠型小微企业贷款余额占其各项贷款余额超过10%的股份制银行，经报银保监会同意，可适度放宽考核要求，确保至少完成“普惠型小微企业贷款余额不低于年初水平，有贷款余额的户数不低于年初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（二）地方性法人银行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各银保监局要督促辖内法人银行（含城市商业银行、民营银行、农村中小银行）努力完成“两增”目标。在辖内法人银行信贷计划总体达到“两增”的前提下，各银保监局可自主实行差异化考核。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对2019年完成“两增”目标（或普惠型小微企业信贷计划）以及利率指导目标、普惠型小微企业贷款余额占其各项贷款余额超过一定比例的法人银行，经属地银保监局同意，可适度放宽考核要求，确保至少完成“普惠型小微企业贷款余额不低于年初水平，有贷款余额的户数不低于年初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对涉农贷款占比较高的法人银行，可选择将其“两增”考核口径扩大为“单户授信总额1000万元以下（含）小微企业贷款和普惠型其它组织及个人经营性（非农户）贷款、单户授信总额500万元以下（含）的普惠型农户经营性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（三）开发银行、政策性银行、外资银行和非银行金融机构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此类机构小微企业贷款不作指标考核，但应保持监测，主要监测普惠型小微企业贷款余额、户数。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开发银行、进出口银行要抓紧落实小微企业转贷款计划，对转贷款资金早安排、早投放，建立健全与合作银行转贷款业务治理体系，实现穿透式管理。转贷双方均应严格按照转贷款业务实质进行会计核算，建立单独的批发资金账户，实行台账管理，统计贷款投向明细，避免重复计算；加强资金用途监测，确保全部用于支持小微企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、加大信贷计划执行力度，确保小微企业全年信贷显著增长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行业金融机构要以完成“两增”目标为导向，客观预估当年本行各项贷款增速，单列普惠型小微企业信贷计划，并分解至各一级分行。对受疫情影响严重地区的分支机构，要在信贷计划分配中予以倾斜支持。信贷计划需经本行主要负责人签字认可，执行中不得挤占、挪用。申请在考核中还原计算当年普惠型小微企业不良贷款核销金额的银行业金融机构，需在报送信贷计划时向监管部门一并提交申请。大中型商业银行由银保监会普惠金融部审核，地方法人银行由各银保监局审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、进一步推动降低融资成本，鼓励对小微企业让利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要以贷款市场报价利率（LPR）形成机制为基础，用好普惠金融定向降准政策，合理确定小微企业贷款利率，力争2020年普惠型小微企业贷款综合融资成本在2019年基础上再有较大幅度下降。鼓励对受疫情影响严重地区的小微企业加大降成本力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政策性银行要通过转贷款机制着力引导合作银行对小微企业贷款给予优惠利率，明确约定转贷款资金发放给借款人的贷款平均利率不得高于当地同类机构同类贷款平均水平。大型银行要继续发挥降成本的“头雁”作用。股份制银行要主动将定向降准政策利好传导到贷款定价上，普惠型小微企业贷款利率偏高的股份制银行要重点加大利率压降力度。地方性法人银行要主动申请运用专项再贷款政策，以优惠利率资金支持小微企业。各银行业金融机构通过普惠金融有关监管、货币、财税倾斜政策获得的优惠，要在内部定价和考核机制中体现，确保政策红利传导到小微企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行业金融机构要切实巩固减负清费工作成果，严禁在小微企业融资中违规收费，或通过借贷搭售、转嫁成本、存贷挂钩等行为变相抬高小微企业融资成本。鼓励银行业金融机构对受疫情冲击、生产经营困难的小微企业客户主动减免服务收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、增强对个体工商户的金融支持，切实帮助其纾困解难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行业金融机构要持续加大对个体工商户的信贷投放力度，力争2020年全年银行业个体工商户贷款余额和户数增量较2019年有明显提升。银行业金融机构通过专项再贷款获得的资金支持，要用于个体工商户发放优惠利率贷款。针对疫情中个体工商户面临的特殊困难，支持银行业金融机构根据个体工商户信用记录、财务状况、市场竞争能力、解决就业人数等，合理确定贷款形式，对符合条件的个体工商户更多发放信用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 、以提高“首贷户”占比为抓手，着力扩大小微企业服务覆盖面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行业金融机构要进一步细分小微企业客户群体，下沉服务重心，形成小微金融市场既相互竞争、又各有侧重的格局，扩大服务覆盖面，切实防范对优质小微企业过度授信的“垒小户”风险。重点加大对小微企业“首贷户”的信贷投放力度，针对性地设置授信审批条件。要结合疫情防控进展，主动调查研判小微企业生产经营和融资状况变化，着重关注分析“首贷户”融资需求，及时响应。与政府性担保机构建立银担合作机制的，鼓励优先为“首贷户”发放担保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 、精准施策做好贷款期限管理，缓解小微企业资金周转压力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行业金融机构要抓紧贯彻落实《关于对中小微企业贷款实施临时性延期还本付息的通知》（银保监发〔2020〕6号）要求，对分支机构特别是基层营业网点传达落实政策，明确细则和流程，提升小微企业的政策获得感。要主动梳理近期有贷款到期的小微企业客户，结合企业受疫情影响情况，协商安排合理的融资方案，优化业务流程，简化证明材料要求。要明确对客户的征信保护措施，确保临时性延期还本付息不影响征信记录。对符合续贷条件的小微企业，应按正常续贷业务办理。对存量贷款到期发放新贷款的，不“一刀切”地强制要求增加增信分险措施，不得盲目抽贷、断贷、压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对货车司机、出租车司机等特殊群体的个人经营性质贷款，在同等条件下，比照适用贷款临时性延期还本付息优惠政策。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 、充分利用互联网技术和渠道，加强对小微企业“滴灌”式融资供给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行业金融机构要以提升风险管理能力为立足点，利用好互联网大数据技术，整合信用信息数据资源，改进小微企业授信审批和风控模型，逐步减少对抵质押品的过度依赖。结合新冠疫情防控需要积极拓展线上服务渠道和方式，有条件线上办理的业务环节，尽量在线上完成。加强与不动产抵押登记部门的联动，推行抵押登记和查询在线办理。在严格贷款用途管理的前提下，根据企业实际用款需求，进一步优化贷款支付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未设立实体网点、主要依靠互联网运营的商业银行要发挥线上渠道、模式、技术优势，可按照市场化原则，在依法合规、风险可控前提下与其他银行开展合作，进一步扩大对小微企业和个体经营者的信贷服务覆盖面。合作双方应确保客户筛选、贷后管理等核心风控环节各自独立开展，不得将核心业务环节外包，避免形成新的风险隐患。合作双方应当合理减少合作服务费用和交易费用，避免抬升小微企业实际承担的融资成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 、积极运用金融科技，优化对产业链上下游小微企业的金融服务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各银行业金融机构要持续跟进产业链上下游小微企业的复工复产需求，加大应收账款、仓单、存货等质押融资产品的研发推广。对信用良好的小微企业客户，应降低承兑汇票保证金比例。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鼓励银行业金融机构主动对接大型制造业、物流、电商平台等产业链核心企业，支持核心企业通过信贷、债券等方式融资后，减少对上下游企业的资金占用，帮助产业链上下游中小微企业解决流动资金紧张等问题。支持银行业金融机构研发供应链金融业务系统，探索通过与核心企业、政府部门相关管理和信息系统对接，以线上线下相结合的方式，基于真实贸易背景和核心企业增信措施，为上下游小微企业提供更加方便快捷的融资服务。同时加强风险防范，做好资金流向监控，确保精准投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 、进一步落实风险管理和尽职免责相关制度，提高基层“敢贷、愿贷”积极性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行业金融机构要进一步细化小微企业不良贷款容忍度和授信尽职免责的要求，明确“普惠型小微企业贷款不良率不高于各项贷款不良率３个百分点以内”的容忍度标准。对受疫情影响严重地区的分支机构，要适当提高其小微企业不良贷款容忍度。对受疫情影响发生的小微企业不良贷款，有充分证据证明的，可对经办人员和相关管理人员免予追究责任。对小微企业受疫情影响严重导致的贷款损失，适当简化内部认定手续，加大自主核销力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 、完善保险服务，加大对小微企业复工复产的保障支持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鼓励保险机构向受疫情影响的小微企业提供纯信用保证保险、质押贷款保证保险等产品，适当降低保费。鼓励提高出口信用保险保障金额，扩大对小微企业的承保覆盖面。鼓励对受疫情影响暂时资金困难的在保小微企业给予减免保险费、延期缴费等优惠措施。支持人身保险公司在风险可控的前提下，适度延长保单质押贷款的期限、提高贷款额度，帮助小微企业缓解短期资金压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 、加强监测推动，协调争取配套政策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级监管部门要组织银行保险机构主动加强对小微企业生产经营和融资供给情况的跟踪监测分析，用好“百行进万企”融资对接平台，及时收集响应疫情平稳后新产生的融资需求。督促银行业金融机构用好专项再贷款等优惠政策，及时落实对政策范围内企业的融资支持。要建立快速统计机制，重点跟踪统计小微企业信贷投放、延期还本付息、减费让利等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各级监管部门开展2020年度有关监管评价和评级时，要充分考虑银行保险机构支持小微企业抗击疫情、复工复产的情况，在相关指标中体现差异化导向。</w:t>
      </w:r>
    </w:p>
    <w:p>
      <w:pPr>
        <w:spacing w:after="156" w:afterLines="50" w:line="360" w:lineRule="auto"/>
        <w:ind w:firstLine="480" w:firstLineChars="200"/>
        <w:rPr>
          <w:rFonts w:cs="宋体" w:asciiTheme="majorEastAsia" w:hAnsiTheme="majorEastAsia" w:eastAsiaTheme="majorEastAsia"/>
        </w:rPr>
        <w:sectPr>
          <w:endnotePr>
            <w:numFmt w:val="decimal"/>
          </w:endnotePr>
          <w:pgSz w:w="11906" w:h="16838"/>
          <w:pgMar w:top="1440" w:right="1800" w:bottom="1440" w:left="1800" w:header="851" w:footer="992" w:gutter="0"/>
          <w:cols w:space="720" w:num="1"/>
          <w:docGrid w:type="lines" w:linePitch="312" w:charSpace="0"/>
        </w:sectPr>
      </w:pPr>
      <w:r>
        <w:rPr>
          <w:rFonts w:hint="eastAsia" w:cs="宋体" w:asciiTheme="majorEastAsia" w:hAnsiTheme="majorEastAsia" w:eastAsiaTheme="majorEastAsia"/>
        </w:rPr>
        <w:t>各银保监局要主动协调地方政府相关部门，从利息补贴、风险分担、税费减免、应急转贷、绩效考核等方面积极争取优惠政策。要跟进研判相关政策的实施效果，密切关注潜在风险，及时报告新动向、新问题，反映情况建议。要加强对当地好政策、好做法的总结交流，进一步凝聚合力，做好小微企业金融服务工作。</w:t>
      </w:r>
    </w:p>
    <w:p>
      <w:pPr>
        <w:pStyle w:val="2"/>
        <w:numPr>
          <w:ilvl w:val="0"/>
          <w:numId w:val="0"/>
        </w:numPr>
        <w:ind w:left="922" w:leftChars="0" w:hanging="440" w:firstLineChars="0"/>
      </w:pPr>
      <w:bookmarkStart w:id="636" w:name="_Toc7596"/>
      <w:r>
        <w:rPr>
          <w:rFonts w:cs="宋体" w:asciiTheme="majorEastAsia" w:hAnsiTheme="majorEastAsia" w:eastAsiaTheme="majorEastAsia"/>
          <w:b/>
          <w:bCs/>
          <w:sz w:val="24"/>
          <w:szCs w:val="24"/>
          <w:lang w:val="en-US" w:eastAsia="zh-CN" w:bidi="ar-SA"/>
        </w:rPr>
        <w:t>111.</w:t>
      </w:r>
      <w:r>
        <w:rPr>
          <w:rFonts w:hint="eastAsia"/>
        </w:rPr>
        <w:t>《关于健全支持中小企业发展制度的若干意见》</w:t>
      </w:r>
      <w:bookmarkEnd w:id="63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工业和信息化部，国家发展和改革委员会，科学技术部，财政部，人力资源和社会保障部，生态环境部，农业农村部，商务部，文化和旅游部，中国人民银行，海关总署，国家税务总局，国家市场监督管理总局，国家统计局，中国银行保险监督管理委员会（已撤销）,中国证券监督管理委员会，国家知识产权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文号：工信部联企业〔2020〕108号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各省、自治区、直辖市及计划单列市人民政府，新疆生产建设兵团：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小企业是国民经济和社会发展的主力军，是建设现代化经济体系、推动经济高质量发展的重要基础，是扩大就业、改善民生的重要支撑，是企业家精神的重要发源地。党中央、国务院高度重视中小企业发展，近年来出台了一系列政策措施，有关工作取得积极成效，但仍存在一些突出问题，特别是一些基础性制度性问题亟待解决。为深入贯彻党的十九届四中全会精神，坚持和完善社会主义基本经济制度，坚持“两个毫不动摇”，形成支持中小企业发展的常态化、长效化机制，促进中小企业高质量发展，经国务院同意，现就健全支持中小企业发展制度，提出如下意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、完善支持中小企业发展的基础性制度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健全中小企业法律法规体系。以《中小企业促进法》为基础，加快构建具有中国特色、支持中小企业发展、保护中小企业合法权益的法律法规体系。鼓励地方依法制定本地促进中小企业发展的地方法规。探索建立中小企业法律法规评估制度和执行情况检查制度，督促法律法规落实到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坚持公平竞争制度。全面实施市场准入负面清单制度，公正公平对待中小企业，破除不合理门槛和限制，实现大中小企业和各种所有制经济权利平等、机会平等、规则平等。全面落实公平竞争审查制度，完善审查流程和标准，建立健全公平竞争审查投诉、公示、抽查制度。加强和改进反垄断和反不正当竞争执法，维护市场竞争秩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完善中小企业统计监测和发布制度。健全中小企业统计监测制度，定期发布中小企业统计数据。建立中小企业融资状况调查统计制度，编制中小微企业金融条件指数。加强中小企业结构化分析，提高统计监测分析水平。探索利用大数据等手段开展中小企业运行监测分析。完善《中小企业主要统计数据》手册，研究编制中小企业发展指数。适时修订中小企业划型标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健全中小企业信用制度。坚持“政府+市场”的模式，建立健全中小企业信用信息归集、共享、查询机制，依托全国信用信息共享平台，及时整合共享各类涉企公共服务数据。建立健全中小企业信用评价体系，完善金融信用信息基础数据库，创新小微企业征信产品，高效对接金融服务。研究出台有关法律法规，规范中小企业信用信息采集、公示查询和信用监管等。发挥国家企业信用信息公示系统的基础作用，将涉企信息记于企业名下并依法公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完善公正监管制度。减少监管事项，简化办事流程，推广全程网上办、引导帮办，全面推行信用监管和“互联网+监管”改革。推进分级分类、跨部门联合监管，加强和规范事中事后监管，落实和完善包容审慎监管，避免对中小企业采取简单粗暴处理措施，对“一刀切”行为严肃查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、坚持和完善中小企业财税支持制度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健全精准有效的财政支持制度。中央财政设立中小企业科目，县级以上财政根据实际情况安排中小企业发展专项资金。建立国家中小企业发展基金公司制母基金，健全基金管理制度，完善基金市场化运作机制，引导有条件的地方政府设立中小企业发展基金。完善专项资金管理办法，加强资金绩效评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建立减轻小微企业税费负担长效机制。实行有利于小微企业发展的税收政策，依法对符合条件的小微企业按照规定实行缓征、减征、免征企业所得税、增值税等措施，简化税收征管程序；对小微企业行政事业性收费实行减免等优惠政策，减轻小微企业税费负担。落实好涉企收费目录清单制度，加强涉企收费监督检查，清理规范涉企收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强化政府采购支持中小企业政策机制。修订《政府采购促进中小企业发展暂行办法》，完善预留采购份额、价格评审优惠等措施，提高中小企业在政府采购中的份额。向中小企业预留采购份额应占本部门年度政府采购项目预算总额的30%以上；其中，预留给小微企业的比例不低于60%。</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、坚持和完善中小企业融资促进制度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优化货币信贷传导机制。综合运用支小再贷款、再贴现、差别存款准备金率等货币政策工具，引导商业银行增加小微企业信贷投放。进一步疏通利率传导渠道，确保贷款市场报价利率（LPR）有效传导至贷款利率。建立差异化小微企业利率定价机制，促进信贷利率和费用公开透明，保持小微企业贷款利率定价合理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健全多层次小微企业金融服务体系。推进普惠金融体系建设，深化大中型银行普惠金融事业部改革，推动中小银行、非存款类金融机构和互联网金融有序健康发展。鼓励金融机构创新产品和服务，发展便利续贷业务和信用贷款，增加小微企业首贷、中长期贷款、知识产权质押贷款等，开展供应链金融、应收账款融资，加强银税互动。推动金融科技赋能金融机构服务中小企业。研究出台《非存款类放贷组织条例》。加快推进小额金融纠纷快速解决等机制建设。完善规范银行业涉企服务收费监管法规制度，降低小微企业综合性融资成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强化小微企业金融差异化监管激励机制。健全商业银行小微企业金融服务监管长效机制，出台《商业银行小微企业金融服务监管评价办法》。修订《金融企业绩效评价办法》。将商业银行小微企业服务情况与资本补充、金融债发行、宏观审慎评估（MPA）考核、金融机构总部相关负责人考核及提任挂钩。引导银行业金融机构探索建立授信尽职免责负面清单制度。督促商业银行优化内部信贷资源配置和考核激励机制，单列小微企业信贷计划，改进贷款服务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完善中小企业直接融资支持制度。大力培育创业投资市场，完善创业投资激励和退出机制，引导天使投资人群体、私募股权、创业投资等扩大中小企业股权融资，更多地投长、投早、投小、投创新。稳步推进以信息披露为核心的注册制改革，支持更多优质中小企业登陆资本市场。鼓励中小企业通过并购重组对接资本市场。稳步推进新三板改革，健全挂牌公司转板上市机制。完善中小企业上市培育机制，鼓励地方加大对小升规、规改股、股上市企业的支持。加大优质中小企业债券融资，通过市场化机制开发更多适合中小企业的债券品种，完善中小企业债券融资增信机制，扩大债券融资规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三）完善中小企业融资担保体系。健全政府性融资担保体系，发挥国家融资担保基金作用，实施小微企业融资担保降费奖补政策，完善风险补偿机制和绩效考核激励机制，引导各级政府性融资担保机构扩大小微企业融资担保业务规模、降低担保费率水平。鼓励银行业金融机构加大与政府性融资担保机构合作，合理确定风险分担比例和担保贷款风险权重，落实金融机构和融资担保机构尽职免责制度，提高小微企业融资可获得性。推动建立统一的动产和权利担保登记公示系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、建立和健全中小企业创新发展制度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四）完善创业扶持制度。改善创业环境，广泛培育创业主体。完善创业载体建设，健全扶持与评价机制，为小微企业创业提供低成本、便利化、高质量服务。鼓励大企业发挥技术优势、人才优势和市场优势，为创业活动提供支撑。鼓励服务机构提供创业相关规范化、专业化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五）完善中小企业创新支持制度。创新中小企业产学研深度融合机制，促进大中小企业联合参与重大科技项目，推动高校、科研院所和大企业科研仪器、实验设施、中试小试基地等创新资源向中小企业开放。调整完善科技计划立项、任务部署和组织管理方式，大幅提高中小企业承担研发任务比例，加大对中小企业研发活动的直接支持。完善专业化市场化创新服务体系，完善国家技术创新中心、制造业创新中心等支持中小企业创新的机制，提升小微企业创业创新示范基地、科技企业孵化器、专业化众创空间、大学科技园等扶持中小企业创新的能力与水平。完善中小企业创新人才引进和培育制度，优化人才激励和权益保障机制。以包容审慎的态度，鼓励中小企业技术创新、产品创新、模式创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六）完善支持中小企业“专精特新”发展机制。健全“专精特新”中小企业、专精特新“小巨人”企业和制造业单项冠军企业梯度培育体系、标准体系和评价机制，引导中小企业走“专精特新”之路。完善大中小企业和各类主体协同创新和融通发展制度，发挥大企业引领支撑作用，提高中小企业专业化能力和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七）构建以信息技术为主的新技术应用机制。支持中小企业发展应用5G、工业互联网、大数据、云计算、人工智能、区块链等新一代信息技术以及新材料技术、智能绿色服务制造技术、先进高效生物技术等，完善支持中小企业应用新技术的工作机制，提升中小企业数字化、网络化、智能化、绿色化水平。支持产业园区、产业集群提高基础设施支撑能力，建立中小企业新技术公共服务平台，完善新技术推广机制，提高新技术在园区和产业链上的整体应用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、完善和优化中小企业服务体系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八）完善中小企业服务体系。健全政府公共服务、市场化服务、社会化公益服务相结合的中小企业服务体系，完善服务机构良性发展机制和公共服务平台梯度培育、协同服务和评价激励机制。探索建立全国中小企业公共服务一体化平台。发展中小企业服务产业，引导服务机构提供规范化、精细化、个性化服务，引导大企业结合产业链、供应链、价值链、创新链为中小企业提供配套服务。鼓励各类社会组织为企业提供公益性服务，探索建立志愿服务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九）健全促进中小企业管理提升机制。完善中小企业培训制度，构建具有时代特点的课程、教材、师资和组织体系，建设慕课平台，构建多领域、多层次、线上线下相结合的中小企业培训体系。健全技能人才培养、使用、评价、激励制度，加快培养高素质技能人才，弘扬“工匠精神”。健全中小企业品牌培育机制。实施小微企业质量管理提升行动。完善中小企业管理咨询服务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夯实中小企业国际交流合作机制。深化双多边中小企业合作机制，促进中小企业国际交流合作。探索建设中小企业海外服务体系，夯实中小企业国际化发展服务机制，在国际商务法务咨询、知识产权保护、技术性贸易措施、质量认证等方面为中小企业提供帮助。支持有条件的地方建设中外中小企业合作区，完善评价激励机制。推进关税保证保险改革。鼓励跨境电商等新业态发展，探索建立B2B出口监管制度，支持跨境电商优进优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 、建立和健全中小企业合法权益保护制度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一）构建保护中小企业及企业家合法财产权制度。坚决保护中小企业及企业家合法财产权，依法惩治侵犯中小企业投资者、管理者和从业人员合法权益的违法犯罪行为。严格按照法定程序采取查封、扣押、冻结等措施，依法严格区分违法所得、其他涉案财产与合法财产，严格区分企业法人财产与股东个人财产，严格区分涉案人员个人财产与家庭成员财产。建立涉政府产权纠纷治理长效机制。出台并落实《保障中小企业款项支付条例》，从源头遏制拖欠问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二）健全中小企业知识产权保护制度。完善知识产权保护法律法规和政策，建立健全惩罚性赔偿制度，提高法定赔偿额。实施中小企业知识产权战略推进工程，加强知识产权服务业集聚发展区建设，强化专利导航工作机制，完善支持中小企业开发自主知识产权技术和产品的政策，提升中小企业创造、运用、保护和管理知识产权能力。优化中小企业知识产权维权机制，建设一批知识产权保护中心。构建知识产权纠纷多元化解决机制，强化中小企业知识产权信息公共服务，推进知识产权纠纷仲裁调解工作。提高知识产权审查效率，减轻中小企业申请和维持知识产权的费用负担。</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三）完善中小企业维权救济制度。构建统一的政务咨询投诉举报平台，畅通中小企业表达诉求渠道，完善咨询投诉举报处理程序和督办考核机制。探索建立中小企业公益诉讼制度、国际维权服务机制。鼓励法律服务机构开展小微企业法律咨询公益服务。建立健全中小企业应急救援救济机制，帮助中小企业应对自然灾害、事故灾难、公共卫生事件和社会安全事件等不可抗力事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 、强化促进中小企业发展组织领导制度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四）强化各级促进中小企业发展工作机制。县级以上地方人民政府必须建立健全促进中小企业发展领导小组，由政府领导担任领导小组组长，办公室设在负责中小企业促进工作的综合管理部门，强化促进中小企业发展工作队伍建设。领导小组要定期召开会议研究落实党中央、国务院促进中小企业发展的重大决策部署，及时向上一级领导小组办公室报告有关工作情况。领导小组各成员单位要认真执行领导小组议定事项，建立内部责任制，加强工作落实。</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五）完善中小企业决策保障工作机制。完善中小企业政策咨询制度，培育一批聚焦中小企业研究的中国特色新型智库，建立政策出台前征求中小企业与专家意见制度和政策实施效果评估制度。完善中小企业政策发布、解读和舆情引导机制，提高政策知晓率、获得感和满意度。定期开展中小企业发展环境第三方评估，并向社会公布结果。</w:t>
      </w:r>
    </w:p>
    <w:p>
      <w:pPr>
        <w:spacing w:after="156" w:afterLines="50" w:line="360" w:lineRule="auto"/>
        <w:ind w:firstLine="482" w:firstLineChars="200"/>
        <w:rPr>
          <w:rFonts w:cs="宋体" w:asciiTheme="majorEastAsia" w:hAnsiTheme="majorEastAsia" w:eastAsiaTheme="majorEastAsia"/>
          <w:b/>
          <w:bCs/>
        </w:rPr>
        <w:sectPr>
          <w:endnotePr>
            <w:numFmt w:val="decimal"/>
          </w:endnotePr>
          <w:pgSz w:w="11906" w:h="16838"/>
          <w:pgMar w:top="1440" w:right="1800" w:bottom="1440" w:left="1800" w:header="851" w:footer="992" w:gutter="0"/>
          <w:cols w:space="720" w:num="1"/>
          <w:docGrid w:type="lines" w:linePitch="312" w:charSpace="0"/>
        </w:sectPr>
      </w:pPr>
    </w:p>
    <w:p>
      <w:pPr>
        <w:pStyle w:val="2"/>
        <w:numPr>
          <w:ilvl w:val="0"/>
          <w:numId w:val="0"/>
        </w:numPr>
        <w:ind w:left="922" w:leftChars="0" w:hanging="440" w:firstLineChars="0"/>
      </w:pPr>
      <w:bookmarkStart w:id="637" w:name="_Toc22355"/>
      <w:r>
        <w:rPr>
          <w:rFonts w:cs="宋体" w:asciiTheme="majorEastAsia" w:hAnsiTheme="majorEastAsia" w:eastAsiaTheme="majorEastAsia"/>
          <w:b/>
          <w:bCs/>
          <w:sz w:val="24"/>
          <w:szCs w:val="24"/>
          <w:lang w:val="en-US" w:eastAsia="zh-CN" w:bidi="ar-SA"/>
        </w:rPr>
        <w:t>112.</w:t>
      </w:r>
      <w:r>
        <w:rPr>
          <w:rFonts w:hint="eastAsia"/>
        </w:rPr>
        <w:t>《北京银保监局关于规范辖内银行业金融机构押品管理的通知》</w:t>
      </w:r>
      <w:bookmarkEnd w:id="63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发文机构：中国银行保险监管管理委员会北京监管局（已撤销）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文号：京银保监发〔2020〕403号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政策性银行北京市分行及总行营业部、国家开发银行在京营业机构、辖内各国有控股大型商业银行、辖内各股份制商业银行、北京银行、北京农商银行、北京中关村银行、辖内各村镇银行、各城市商业银行北京分行、辖内各外资银行、各金融资产管理公司在京营业机构、辖内各信托公司、辖内各企业集团财务公司、辖内各汽车金融公司、辖内各消费金融公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为规范辖内银行业金融机构押品管理工作，充分发挥押品的信用风险缓释功能，现就有关事项通知如下：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健全押品管理体系。银行业金融机构应建立押品管理制度，完善押品管理流程，有条件的应通过建立信息系统实现对押品的分类统计、动态监测和风险预警，确保押品管理能力与业务发展、风险管理水平相适应。</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规范押品评估行为。押品由外部评估机构进行估值的，银行业金融机构应对估值进行内部审核。发现外部估值明显偏离市场价值或与实际不符的，应再次进行评估。银行业金融机构应加强对押品价值的动态监测，合理确定重估频率和触发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、加强押品集中度管理。银行业金融机构应综合考虑抵质押融资业务类型和押品管理水平，对不同种类押品实施差异化的集中度管理，防止单一押品或单一种类押品因市场波动等不利情形发生风险集中爆发。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审慎接受押品。银行业金融机构应遵循“易评估、易管理、易变现”的原则对押品进行筛选，确保押品权属无瑕疵、抵质押权易实现，审慎接受二次抵押。对于缺乏有效手段核实权属状态真实性、难以动态掌握市场价值、变现困难或变现价值较低的押品，应通过补充或变更增信措施、降低抵质押率等方式保障债权安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规范不动产抵押登记办理流程。银行业金融机构应积极使用“金融专网”，实现不动产抵押登记办理流程线上化，有效防控操作风险。确需线下办理抵押登记的，应坚持双人原则。银行业金融机构应在放款前对抵押物真实性和抵押状态进行查询复核，复核人员与办理抵押登记人员不得为同一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 、加强个人房地产类押品审查。银行业金融机构应亲见产权人、配偶及其签字过程，综合采取身份证件联网核查、人脸识别等手段核实产权人及其配偶身份的真实性。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 、审慎开展实物贵金属质押业务。银行业金融机构开展实物贵金属质押业务，应配备专业设备、完善技术手段，自主开展检测鉴定、入库保管等关键环节工作。不具备上述条件的机构，应接受在经国务院批准或同意设立的交易所托管的贵金属作为质押物，并按照交易所规定办理质押手续，质押合同未到期前贵金属不得出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 、加强金融质押品质押融资管理。对于结构性存款、存单等现金等价物类金融质押品，银行业金融机构应加强融资背景和资金用途审查，严防资金空转套利。对于上市公司股票类金融质押品，银行业金融机构应审慎设定质押率上限及上市公司股东质押股票占其持有该上市公司总股本的比率上限，并对押品进行盯市管理；发生押品价格触及警戒线、临近平仓线等可能影响质押权实现的情形时，应及时预警，并提前采取追加担保、置换质物、合同调整等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 、加强应收账款类押品调查。银行业金融机构应综合运用实地调查、核验合同发票、监控回款账户等多种方式，验证应收账款的真实性，不得出现仅对付款通知书回执、债权转让通知书回执等进行形式审核的情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 、加强存货、仓单、提单等实物押品管理。银行业金融机构应探索使用区块链、物联网等技术，核验存货、仓单、提单等实物押品的真实性和排他性，有效防范抵质押权悬空风险。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辖内保险机构开展保险业务涉及押品管理的，参照本通知执行。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银保监会另有规定的从其规定。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本通知由北京银保监局负责解释。</w:t>
      </w:r>
    </w:p>
    <w:p>
      <w:pPr>
        <w:spacing w:after="156" w:afterLines="50" w:line="360" w:lineRule="auto"/>
        <w:ind w:firstLine="480" w:firstLineChars="200"/>
        <w:rPr>
          <w:rFonts w:cs="宋体" w:asciiTheme="majorEastAsia" w:hAnsiTheme="majorEastAsia" w:eastAsiaTheme="majorEastAsia"/>
        </w:rPr>
        <w:sectPr>
          <w:endnotePr>
            <w:numFmt w:val="decimal"/>
          </w:endnotePr>
          <w:pgSz w:w="11906" w:h="16838"/>
          <w:pgMar w:top="1440" w:right="1800" w:bottom="1440" w:left="1800" w:header="851" w:footer="992" w:gutter="0"/>
          <w:cols w:space="720" w:num="1"/>
          <w:docGrid w:type="lines" w:linePitch="312" w:charSpace="0"/>
        </w:sectPr>
      </w:pPr>
    </w:p>
    <w:p>
      <w:pPr>
        <w:pStyle w:val="2"/>
        <w:numPr>
          <w:ilvl w:val="0"/>
          <w:numId w:val="0"/>
        </w:numPr>
        <w:ind w:left="922" w:leftChars="0" w:hanging="440" w:firstLineChars="0"/>
      </w:pPr>
      <w:bookmarkStart w:id="638" w:name="_Toc32509"/>
      <w:r>
        <w:rPr>
          <w:rFonts w:cs="宋体" w:asciiTheme="majorEastAsia" w:hAnsiTheme="majorEastAsia" w:eastAsiaTheme="majorEastAsia"/>
          <w:b/>
          <w:bCs/>
          <w:sz w:val="24"/>
          <w:szCs w:val="24"/>
          <w:lang w:val="en-US" w:eastAsia="zh-CN" w:bidi="ar-SA"/>
        </w:rPr>
        <w:t>113.</w:t>
      </w:r>
      <w:r>
        <w:rPr>
          <w:rFonts w:hint="eastAsia"/>
        </w:rPr>
        <w:t>《关于规范发展供应链金融支持供应链产业链稳定循环和优化升级的意见》</w:t>
      </w:r>
      <w:bookmarkEnd w:id="638"/>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发文机构：中国人民银行、工业和信息化部、司法部、商务部、国务院国有资产监督管理委员会、国家市场监督管理总局、中国银行保险监督管理委员会（已撤销）、国家外汇管理局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文号：银发〔2020〕226号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坚决贯彻党中央、国务院关于扎实做好“六稳”工作、全面落实“六保”任务决策部署，做好金融支持稳企业保就业工作，精准服务供应链产业链完整稳定，提升整体运行效率，促进经济良性循环和优化布局，现就供应链金融规范、发展和创新提出以下意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、准确把握供应链金融的内涵和发展方向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提高供应链产业链运行效率，降低企业成本。供应链金融是指从供应链产业链整体出发，运用金融科技手段，整合物流、资金流、信息流等信息，在真实交易背景下，构建供应链中占主导地位的核心企业与上下游企业一体化的金融供给体系和风险评估体系，提供系统性的金融解决方案，以快速响应产业链上企业的结算、融资、财务管理等综合需求，降低企业成本，提升产业链各方价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支持供应链产业链稳定升级和国家战略布局。供应链金融应以服务供应链产业链完整稳定为出发点和宗旨，顺应产业组织形态的变化，加快创新和规范发展，推动产业链修复重构和优化升级，加大对国家战略布局及关键领域的支持力度，充分发挥市场在资源配置中的决定性作用，促进经济结构调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坚持市场主体的专业优势和市场定位，加强协同配合。金融机构、核心企业、仓储及物流企业、科技平台应聚焦主业，立足于各自专业优势和市场定位，加强共享与合作，深化信息协同效应和科技赋能，推动供应链金融场景化和生态化，提高线上化和数字化水平，推进产业链条信息透明、周转安全、产销稳定，为产业链的市场竞争能力和延伸拓展能力提供支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注重市场公平有序和产业良性循环。核心企业应严格遵守《保障中小企业款项支付条例》有关规定，及时支付中小微企业款项，合理有序扩张商业信用，保障中小微企业的合法权益，塑造大中小微企业共生共赢的产业生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、稳步推动供应链金融规范、发展和创新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提升产业链整体金融服务水平。推动金融机构、核心企业、政府部门、第三方专业机构等各方加强信息共享，依托核心企业构建上下游一体化、数字化、智能化的信息系统、信用评估和风险管理体系，动态把握中小微企业的经营状况，建立金融机构与实体企业之间更加稳定紧密的关系。鼓励银行等金融机构为产业链提供结算、融资和财务管理等系统化的综合解决方案，提高金融服务的整体性和协同性。（人民银行、银保监会、国资委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探索提升供应链融资结算线上化和数字化水平。在供应链交易信息清晰可视、现金流和风险可控的条件下，银行可通过供应链上游企业融资试点的方式，开展线上贷前、贷中、贷后“三查”。支持探索使用电子签章在线签署合同，进行身份认证核查、远程视频签约验证。支持银行间电子认证互通互认。（人民银行、银保监会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加大对核心企业的支持力度。在有效控制风险的前提下，综合运用信贷、债券等工具，支持核心企业提高融资能力和流动性管理水平，畅通和稳定上下游产业链条。支持核心企业发行债券融资支付上下游企业账款，发挥核心企业对产业链的资金支持作用。对先进制造业、现代服务业、贸易高质量发展等国家战略及关键领域的核心企业，银行等金融机构、债券管理部门可建立绿色通道，及时响应融资需求。（人民银行、银保监会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提升应收账款的标准化和透明度。支持金融机构与人民银行认可的供应链票据平台对接，支持核心企业签发供应链票据，鼓励银行为供应链票据提供更便利的贴现、质押等融资，支持中小微企业通过标准化票据从债券市场融资，提高商业汇票签发、流转和融资效率。（人民银行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提高中小微企业应收账款融资效率。鼓励核心企业通过应收账款融资服务平台进行确权，为中小微企业应收账款融资提供便利，降低中小微企业成本。银行等金融机构应积极与应收账款融资服务平台对接，减少应收账款确权的时间和成本，支持中小微企业高效融资。（人民银行、工业和信息化部、国资委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支持打通和修复全球产业链。金融机构应提升国际产业链企业金融服务水平，充分利用境内外分支机构联动支持外贸转型升级基地建设、开拓多元化市场、出口产品转内销、加工贸易向中西部梯度转移等，支持出口企业与境外合作伙伴恢复商贸往来，通过提供买方信贷、出口应收账款融资、保单融资等方式支持出口企业接单履约，运用好出口信用保险分担风险损失。（人民银行、银保监会、外汇局、商务部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规范发展供应链存货、仓单和订单融资。在基于真实交易背景、风险可控的前提下，金融机构可选取流通性强、价值价格体系健全的动产，开展存货、仓单融资。金融机构应切实应用科技手段提高风险控制水平，与核心企业及仓储、物流、运输等环节的管理系统实现信息互联互通，及时核验存货、仓单、订单的真实性和有效性。（银保监会、人民银行、商务部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增强对供应链金融的风险保障支持。保险机构应积极嵌入供应链环节，增加营业中断险、仓单财产保险等供应链保险产品供给，提供抵押质押、纯信用等多种形式的保证保险业务，扩大承保覆盖面，做好供应链保险理赔服务，提高理赔效率。（银保监会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、加强供应链金融配套基础设施建设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三）完善供应链票据平台功能。加强供应链票据平台的票据签发、流转、融资相关系统功能建设，加快推广与核心企业、金融机构、第三方科技公司的供应链平台互联互通，明确各类平台接入标准和流程规则，完善供应链信息与票据信息的匹配，探索建立交易真实性甄别和监测预警机制。（人民银行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四）推动动产和权利担保统一登记公示。建立统一的动产和权利担保登记公示系统，逐步实现市场主体在一个平台上办理动产和权利担保登记。加强统一的动产和权利担保登记公示系统的数字化和要素标准化建设，支持金融机构通过接口方式批量办理查询和登记，提高登记公示办理效率。（人民银行、市场监管总局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、完善供应链金融政策支持体系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五）优化供应链融资监管与审查规则。根据供应链金融业务的具体特征，对金融产品设计、尽职调查、审批流程和贷后管理实施差异化监管。在还款主体明确、偿还资金封闭可控的情况下，银行在审查核心企业对上下游企业提供融资时，可侧重于对核心企业的信用和交易真实性的审查。（银保监会、人民银行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六）建立信用约束机制。加快实施商业汇票信息披露制度，强化市场化约束机制。建立商业承兑汇票与债券交叉信息披露机制，核心企业在债券发行和商业承兑汇票信息披露中，应同时披露债券违约信息和商业承兑汇票逾期信息，加强信用风险防控。（人民银行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、防范供应链金融风险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七）加强核心企业信用风险防控。金融机构应根据核心企业及供应链整体状况，建立基于核心企业贷款、债券、应付账款等一揽子风险识别和防控机制，充分利用现有平台，加强对核心企业应付账款的风险识别和风险防控。对于由核心企业承担最终偿付责任的供应链融资业务，遵守大额风险暴露的相关监管要求。（银保监会、人民银行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八）防范供应链金融业务操作风险。金融机构应加强金融科技运用，通过“金融科技+供应链场景”实现核心企业“主体信用”、交易标的“物的信用”、交易信息产生的“数据信用”一体化的信息系统和风控系统，建立全流程线上资金监控模式，增强操作制度的严密性，强化操作制度的执行力。（银保监会、人民银行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九）严格防控虚假交易和重复融资风险。银行等金融机构对供应链融资要严格交易真实性审核，警惕虚增、虚构应收账款、存货及重复抵押质押行为。对以应收账款为底层资产的资产证券化、资产管理产品，承销商及资产管理人应切实履行尽职调查及必要的风控程序，强化对信息披露和投资者适当性的要求。（银保监会、人民银行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防范金融科技应用风险。供应链金融各参与方应合理运用区块链、大数据、人工智能等新一代信息技术，持续加强供应链金融服务平台、信息系统等的安全保障、运行监控与应急处置能力，切实防范信息安全、网络安全等风险。（人民银行、银保监会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 、严格对供应链金融的监管约束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一）强化支付纪律和账款确权。供应链大型企业应当按照《保障中小企业款项支付条例》要求，将逾期尚未支付中小微企业款项的合同数量、金额等信息纳入企业年度报告，通过国家企业信用信息公示系统向社会公示。对于公示的供应链大型企业，逾期尚未支付中小微企业款项且双方无分歧的，债券管理部门应限制其新增债券融资，各金融机构应客观评估其风险，审慎提供新增融资。（人民银行、银保监会、工业和信息化部、市场监管总局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二）维护产业生态良性循环。核心企业不得一边故意占用上下游企业账款、一边通过关联机构提供应收账款融资赚取利息。各类供应链金融服务平台应付账款的流转应采用合法合规的金融工具，不得封闭循环和限定融资服务方。核心企业、第三方供应链平台公司以供应链金融的名义挤占中小微企业利益的，相关部门应及时纠偏。（人民银行、银保监会、国资委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三）加强供应链金融业务监管。开展供应链金融业务应严格遵守国家宏观调控和产业政策，不得以各种供应链金融产品规避国家宏观调控要求。各类保理公司、小额贷款公司、财务公司开展供应链金融业务的，应严格遵守业务范围，加强对业务合规性和风险的管理，不得无牌或超出牌照载明的业务范围开展金融业务。各类第三方供应链平台公司不得以供应链金融的名义变相开展金融业务，不得以供应链金融的名义向中小微企业收取质价不符的服务费用。</w:t>
      </w:r>
    </w:p>
    <w:p>
      <w:pPr>
        <w:spacing w:after="156" w:afterLines="50" w:line="360" w:lineRule="auto"/>
        <w:ind w:firstLine="480" w:firstLineChars="200"/>
        <w:rPr>
          <w:rFonts w:cs="宋体" w:asciiTheme="majorEastAsia" w:hAnsiTheme="majorEastAsia" w:eastAsiaTheme="majorEastAsia"/>
        </w:rPr>
      </w:pPr>
    </w:p>
    <w:p>
      <w:pPr>
        <w:pStyle w:val="2"/>
        <w:numPr>
          <w:ilvl w:val="0"/>
          <w:numId w:val="0"/>
        </w:numPr>
        <w:ind w:left="922" w:leftChars="0" w:hanging="440" w:firstLineChars="0"/>
      </w:pPr>
      <w:bookmarkStart w:id="639" w:name="_Toc22668"/>
      <w:r>
        <w:rPr>
          <w:rFonts w:cs="宋体" w:asciiTheme="majorEastAsia" w:hAnsiTheme="majorEastAsia" w:eastAsiaTheme="majorEastAsia"/>
          <w:b/>
          <w:bCs/>
          <w:sz w:val="24"/>
          <w:szCs w:val="24"/>
          <w:lang w:val="en-US" w:eastAsia="zh-CN" w:bidi="ar-SA"/>
        </w:rPr>
        <w:t>114.</w:t>
      </w:r>
      <w:r>
        <w:rPr>
          <w:rFonts w:hint="eastAsia"/>
        </w:rPr>
        <w:t>《中国人民银行关于规范商业承兑汇票信息披露的公告》</w:t>
      </w:r>
      <w:bookmarkEnd w:id="639"/>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发文机构：中国人民银行</w:t>
      </w:r>
      <w:r>
        <w:rPr>
          <w:rFonts w:hint="eastAsia" w:cs="宋体" w:asciiTheme="majorEastAsia" w:hAnsiTheme="majorEastAsia" w:eastAsiaTheme="majorEastAsia"/>
        </w:rPr>
        <w:tab/>
      </w:r>
      <w:r>
        <w:rPr>
          <w:rFonts w:hint="eastAsia" w:cs="宋体" w:asciiTheme="majorEastAsia" w:hAnsiTheme="majorEastAsia" w:eastAsiaTheme="majorEastAsia"/>
        </w:rPr>
        <w:t>文号：中国人民银行公告〔2020〕第19号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为加强商业承兑汇票信用体系建设，完善市场化约束机制，保障持票人合法权益，现就商业承兑汇票信息披露有关事宜公告如下：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、承兑人应当于承兑完成日次1个工作日内披露每张票据的承兑相关信息，包括出票日期、承兑日期、票据号码、出票人名称、承兑人名称、承兑人社会信用代码、票面金额、票据到期日等。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、承兑人应当于每月前10日内披露承兑信用信息，包括累计承兑发生额、承兑余额、累计逾期发生额、逾期余额等。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、承兑人对披露信息的真实性、准确性、及时性和完整性负责。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、企业签收商业承兑汇票前，可以通过中国人民银行认可的票据信息披露平台（以下简称票据信息披露平台）查询票据承兑信息，加强风险识别与防范。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金融机构办理商业承兑汇票的贴现、质押、保证等业务前，应当通过票据信息披露平台查询票据承兑信息，票据承兑信息不存在或者票面记载事项与承兑人披露的信息不一致的，金融机构不得办理票据贴现、质押、保证等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 、承兑人披露信息及时、准确、承兑的票据无逾期记录的，金融机构可以优先为承兑人办理银行承兑业务，优先为承兑人承兑的票据办理贴现业务。承兑人披露信息存在延迟、虚假或者承兑的票据持续逾期的，金融机构应当审慎为承兑人办理银行承兑业务，审慎为承兑人承兑的票据办理贴现、质押、保证等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 、承兑人可以通过票据信息披露平台披露其他信用信息。承兑人在债券市场发生违约的，可以通过票据信息披露平台披露债券违约情况。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 、票据市场基础设施应当提供必要的技术支持，协助承兑人及时、高效披露相关信息，并加强监测，对承兑人披露信息延迟、承兑的票据持续逾期以及披露的信息与电子商业汇票系统记载信息不一致等情况进行提示。企业、金融机构发现伪假商业承兑汇票或者冒名承兑等异常情况的，应当及时告知票据市场基础设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 、票据市场基础设施根据本公告及中国人民银行有关要求，制定商业承兑汇票信息披露操作细则，报中国人民银行备案后施行，并定期向中国人民银行报告商业承兑汇票信息披露情况。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 、本公告自2021年8月1日起施行。财务公司承兑汇票的信息披露参照本公告执行。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中国人民银行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2020年12月18日</w:t>
      </w:r>
    </w:p>
    <w:p>
      <w:pPr>
        <w:spacing w:after="156" w:afterLines="50" w:line="360" w:lineRule="auto"/>
        <w:ind w:firstLine="480" w:firstLineChars="200"/>
        <w:rPr>
          <w:rFonts w:cs="宋体" w:asciiTheme="majorEastAsia" w:hAnsiTheme="majorEastAsia" w:eastAsiaTheme="majorEastAsia"/>
        </w:rPr>
        <w:sectPr>
          <w:endnotePr>
            <w:numFmt w:val="decimal"/>
          </w:endnotePr>
          <w:pgSz w:w="11906" w:h="16838"/>
          <w:pgMar w:top="1440" w:right="1800" w:bottom="1440" w:left="1800" w:header="851" w:footer="992" w:gutter="0"/>
          <w:cols w:space="720" w:num="1"/>
          <w:docGrid w:type="lines" w:linePitch="312" w:charSpace="0"/>
        </w:sectPr>
      </w:pPr>
    </w:p>
    <w:p>
      <w:pPr>
        <w:pStyle w:val="2"/>
        <w:numPr>
          <w:ilvl w:val="0"/>
          <w:numId w:val="0"/>
        </w:numPr>
        <w:ind w:left="922" w:leftChars="0" w:hanging="440" w:firstLineChars="0"/>
      </w:pPr>
      <w:bookmarkStart w:id="640" w:name="_Toc12006"/>
      <w:r>
        <w:rPr>
          <w:rFonts w:cs="宋体" w:asciiTheme="majorEastAsia" w:hAnsiTheme="majorEastAsia" w:eastAsiaTheme="majorEastAsia"/>
          <w:b/>
          <w:bCs/>
          <w:sz w:val="24"/>
          <w:szCs w:val="24"/>
          <w:lang w:val="en-US" w:eastAsia="zh-CN" w:bidi="ar-SA"/>
        </w:rPr>
        <w:t>115.</w:t>
      </w:r>
      <w:r>
        <w:rPr>
          <w:rFonts w:hint="eastAsia"/>
        </w:rPr>
        <w:t>《中国人民银行关于明示贷款年化利率的公告》</w:t>
      </w:r>
      <w:bookmarkEnd w:id="640"/>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发文机构：中国人民银行文号：中国人民银行公告〔2021〕第3号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为维护贷款市场竞争秩序，保护金融消费者合法权益，所有贷款产品均应明示贷款年化利率，现就有关事宜公告如下：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所有从事贷款业务的机构，在网站、移动端应用程序、宣传海报等渠道进行营销时，应当以明显的方式向借款人展示年化利率，并在签订贷款合同时载明,也可根据需要同时展示日利率、月利率等信息，但不应比年化利率更明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、从事贷款业务的机构包括但不限于存款类金融机构、汽车金融公司、消费金融公司、小额贷款公司以及为贷款业务提供广告或展示平台的互联网平台等。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贷款年化利率应以对借款人收取的所有贷款成本与其实际占用的贷款本金的比例计算，并折算为年化形式。其中，贷款成本应包括利息及与贷款直接相关的各类费用。贷款本金应在贷款合同或其他债权凭证中载明。若采用分期偿还本金方式，则应以每期还款后剩余本金计算实际占用的贷款本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、贷款年化利率可采用复利或单利方法计算。复利计算方法即内部收益率法，具体示例见附件。采用单利计算方法的，应说明是单利。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、鼓励民间借贷参照本公告执行。</w:t>
      </w:r>
    </w:p>
    <w:p>
      <w:pPr>
        <w:spacing w:after="156" w:afterLines="50" w:line="360" w:lineRule="auto"/>
        <w:ind w:firstLine="480" w:firstLineChars="200"/>
        <w:rPr>
          <w:rFonts w:cs="宋体" w:asciiTheme="majorEastAsia" w:hAnsiTheme="majorEastAsia" w:eastAsiaTheme="majorEastAsia"/>
        </w:rPr>
        <w:sectPr>
          <w:endnotePr>
            <w:numFmt w:val="decimal"/>
          </w:endnotePr>
          <w:pgSz w:w="11906" w:h="16838"/>
          <w:pgMar w:top="1440" w:right="1800" w:bottom="1440" w:left="1800" w:header="851" w:footer="992" w:gutter="0"/>
          <w:cols w:space="720" w:num="1"/>
          <w:docGrid w:type="lines" w:linePitch="312" w:charSpace="0"/>
        </w:sectPr>
      </w:pPr>
    </w:p>
    <w:p>
      <w:pPr>
        <w:pStyle w:val="2"/>
        <w:numPr>
          <w:ilvl w:val="0"/>
          <w:numId w:val="0"/>
        </w:numPr>
        <w:ind w:left="922" w:leftChars="0" w:hanging="440" w:firstLineChars="0"/>
      </w:pPr>
      <w:bookmarkStart w:id="641" w:name="_Toc17585"/>
      <w:r>
        <w:rPr>
          <w:rFonts w:cs="宋体" w:asciiTheme="majorEastAsia" w:hAnsiTheme="majorEastAsia" w:eastAsiaTheme="majorEastAsia"/>
          <w:b/>
          <w:bCs/>
          <w:sz w:val="24"/>
          <w:szCs w:val="24"/>
          <w:lang w:val="en-US" w:eastAsia="zh-CN" w:bidi="ar-SA"/>
        </w:rPr>
        <w:t>116.</w:t>
      </w:r>
      <w:r>
        <w:rPr>
          <w:rFonts w:hint="eastAsia"/>
        </w:rPr>
        <w:t>《关于加快推动制造服务业高质量发展的意见》</w:t>
      </w:r>
      <w:bookmarkEnd w:id="641"/>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国家发展和改革委员会、教育部、科学技术部、工业和信息化部、司法部、人力资源和社会保障部、自然资源部、生态环境部、交通运输部、商务部、中国人民银行、国家市场监督管理总局、中国银行保险监督管理委员会（已撤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文号：发改产业〔2021〕372号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各省、自治区、直辖市及计划单列市，新疆生产建设兵团有关部门：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制造服务业是面向制造业的生产性服务业，是提升制造业产品竞争力和综合实力、促进制造业转型升级和高质量发展的重要支撑。当前，我国制造服务业供给质量不高，专业化、社会化程度不够，引领制造业价值链攀升的作用不明显，与建设现代化经济体系、实现经济高质量发展的要求还存在差距。为加快推动制造服务业高质量发展，现提出以下意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、总体要求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指导思想。以习近平新时代中国特色社会主义思想为指导，全面贯彻党的十九大和十九届二中、三中、四中、五中全会精神，坚定不移贯彻新发展理念，以推动高质量发展为主题，以深化供给侧结构性改革为主线，充分发挥市场在资源配置中的决定性作用，更好发挥政府作用，聚焦重点领域和关键环节，培育壮大服务主体，加快提升面向制造业的专业化、社会化、综合性服务能力，提高制造业产业链整体质量和水平，以高质量供给适应引领创造新需求，为加快建设现代化经济体系，加快构建以国内大循环为主体、国内国际双循环相互促进的新发展格局提供有力支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发展目标。力争到2025年，制造服务业在提升制造业质量效益、创新能力、资源配置效率等方面的作用显著增强，对制造业高质量发展的支撑和引领作用更加突出。重点领域制造服务业专业化、标准化、品牌化、数字化、国际化发展水平明显提升，形成一批特色鲜明、优势突出的制造服务业集聚区和示范企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、制造服务业发展方向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聚焦重点环节和领域，从6个方面加快推动制造服务业发展，以高质量的服务供给引领制造业转型升级和品质提升。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提升制造业创新能力。发展研究开发、技术转移、创业孵化、知识产权、科技咨询等科技服务业，加强关键核心技术攻关，加速科技成果转化，夯实产学研协同创新基础，推动产业链与创新链精准对接、深度融合，提升制造业技术创新能力，提高制造业产业基础高级化、产业链供应链现代化水平。提升商务咨询专业化、数字化水平，助力制造业企业树立战略思维、创新管理模式、优化治理结构，推动提高经营效益。加快工业设计创新发展，提升制造业设计能力和水平，推动中国制造向中国创造转变。（科技部、工业和信息化部、发展改革委、商务部、知识产权局按职责分工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优化制造业供给质量。支持企业和专业机构提供质量管理、控制、评价等服务，扩大制造业优质产品和服务供给，提升供给体系对需求的适配性。加快检验检测认证服务业市场化、国际化、专业化、集约化、规范化改革和发展，提高服务水平和公信力，推进国家检验检测认证公共服务平台建设，推动提升制造业产品和服务质量。加强国家计量基准标准和标准物质建设，提升计量测试能力水平，优化计量测试服务业市场供给。发展面向制造业的研发、制造、交付、维护等产品全生命周期管理，实现制造业链条延伸和价值增值。鼓励专业服务机构积极参与制造业品牌建设和市场推广，加强品牌和营销管理服务，提升制造业品牌效应和市场竞争力。（市场监管总局、商务部、科技部、工业和信息化部、发展改革委按职责分工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提高制造业生产效率。利用5G、大数据、云计算、人工智能、区块链等新一代信息技术，大力发展智能制造，实现供需精准高效匹配，促进制造业发展模式和企业形态根本性变革。加快发展工业软件、工业互联网，培育共享制造、共享设计和共享数据平台，推动制造业实现资源高效利用和价值共享。发展现代物流服务体系，促进信息资源融合共享，推动实现采购、生产、流通等上下游环节信息实时采集、互联互通，提高生产制造和物流一体化运作水平。（工业和信息化部、发展改革委、交通运输部、商务部按职责分工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支撑制造业绿色发展。强化节能环保服务对制造业绿色发展的支撑作用，推进合同能源管理、节能诊断、节能评估、节能技术改造咨询服务、节能环保融资、第三方监测、环境污染第三方治理、环境综合治理托管服务等模式，推动节能环保服务由单一、短时效的技术服务，向咨询、管理、投融资等多领域、全周期的综合服务延伸拓展。发展回收与利用服务，完善再生资源回收利用体系，畅通汽车、纺织、家电等产品生产、消费、回收、处理、再利用全链条，实现产品经济价值和社会价值最大化。（生态环境部、工业和信息化部、商务部、发展改革委按职责分工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增强制造业发展活力。更好发挥资本市场的作用，充分利用多元化金融工具，不断创新服务模式，为制造业发展提供更高质量、更有效率的金融服务。发展人力资源管理服务，提升人才管理能力和水平，优化人才激励机制，推动稳定制造业就业，助力实现共同富裕。加大数据资源开发、开放和共享力度，促进知识、信息、数据等新生产要素合理流动、有效集聚和利用，促进制造业数字化转型。（证监会、银保监会、人民银行、人力资源社会保障部、网信办、发展改革委按职责分工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推动制造业供应链创新应用。健全制造业供应链服务体系，稳步推进制造业智慧供应链体系，创新网络和服务平台建设，推动制造业供应链向产业服务供应链转型。支持制造业企业发挥自身供应链优势赋能上下游企业，促进各环节高效衔接和全流程协同。巩固制造业供应链核心环节竞争力，补足制造业供应链短板。推动感知技术在制造业供应链关键节点的应用，推进重点行业供应链体系智能化，逐步实现供应链可视化。建立制造业供应链评价体系，逐步形成重要资源和产品全球供应链风险预警系统，完善全球供应链风险预警机制，提升我国制造业供应链全球影响力和竞争力。（工业和信息化部、商务部按职责分工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、加快制造服务业发展专项行动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以专项行动和重点工程为抓手，统筹谋划、重点突破，实现制造业与制造服务业耦合共生、相融相长。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制造服务业主体培育行动。围绕制造业共性服务需求，加快培育一批集战略咨询、管理优化、解决方案创新、数字能力建设于一体的综合性服务平台。支持制造业企业按照市场化原则，剥离非核心服务，为产业链上下游企业提供研发设计、创业孵化、计量测试、检验检测等社会化、专业化服务。鼓励制造服务业企业按照市场化原则开展并购重组，实现集约化和品牌化发展。培育一批制造服务业新型产业服务平台或社会组织，鼓励其开展协同研发、资源共享和成果推广应用等活动。（发展改革委、工业和信息化部、国资委按职责分工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融合发展试点示范行动。深入推进先进制造业和现代服务业融合发展试点，培育服务衍生制造、供应链管理、总集成总承包等新业态新模式，探索原材料、消费品、装备制造等重点行业领域与服务业融合发展新路径。进一步健全要素配置、市场监管、统计监测等方面工作机制，打造一批深度融合型企业和平台。遴选培育一批服务型制造示范企业、平台、项目和城市，推动服务型制造理念得到普遍认可、服务型制造主要模式深入发展。（发展改革委、工业和信息化部、统计局按职责分工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中国制造品牌培育行动。完善国家质量基础设施，加强标准、计量、专利等体系和能力建设，深入开展质量提升行动。充分调动企业作为品牌建设主体的主观能动性，建立以质量为基础的品牌发展战略，不断优化产品和服务供给，促进制造业企业提升质量管理水平。持续办好中国品牌日活动，讲好中国品牌故事，宣传推介国货精品，在全社会进一步传播品牌发展理念，增强品牌发展意识，凝聚品牌发展共识。（市场监管总局、工业和信息化部、发展改革委、商务部、知识产权局按职责分工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制造业智能转型行动。制定重点行业领域数字化转型路线图。抓紧研制两化融合成熟度、供应链数字化等亟需标准，加快工业设备和企业上云用云步伐。实施中小企业数字化赋能专项行动，集聚一批面向制造业中小企业的数字化服务商。推进“5G+工业互联网”512工程，打造5个内网建设改造公共服务平台，遴选10个重点行业，挖掘20个典型应用场景。在冶金、石化、汽车、家电等重点领域遴选一批实施成效突出、复制推广价值大的智能制造标杆工厂，加快制定分行业智能制造实施路线图，修订完善国家智能制造标准体系。开展联网制造企业网络安全能力贯标行动，遴选一批贯标示范企业。（工业和信息化部、发展改革委、市场监管总局按职责分工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三）制造业研发设计能力提升行动。推动新型研发机构健康有序发展，支持科技企业与高校、科研机构合作建立技术研发中心、产业研究院、中试基地等新型研发机构，盘活并整合创新资源，推动产学研协同创新。大力推进系统设计、绿色设计和创意设计的理念与方法普及，开展高端装备制造业及传统优势产业等领域重点设计突破工程，培育一批国家级和省级工业设计研究平台，突出设计创新创意园区对经济社会发展的综合拉动效应，探索建立以创新为核心的设计赋能机制，推动制造业设计能力全面提升。（科技部、工业和信息化部、发展改革委按职责分工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四）制造业绿色化改造行动。开展绿色产业示范基地建设，搭建绿色发展促进平台，培育一批具有自主知识产权和专业化服务能力的市场主体，推动提高钢铁、石化、化工、有色、建材、纺织、造纸、皮革等行业绿色化水平。积极打造家电销售和废旧家电回收处理产业链，探索实施家电企业生产者责任延伸目标制度，研究开展废弃电器电子产品拆解企业资源环境绩效评价，促进家电更新消费。（发展改革委、工业和信息化部、生态环境部按职责分工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五）制造业供应链创新发展行动。探索实施制造业供应链竞争力提升工程，逐步完善战略性新兴产业供应链关键配套体系，巩固制造业供应链核心环节竞争力。开展制造业供应链协同性、安全性、稳定性、竞争力等综合评估，研究绘制基于国内国际产业循环的制造业重点行业供应链全景图。鼓励企业积极参与全球供应链网络，建立重要资源和产品全球供应链风险预警系统。研究国家制造业供应链安全计划，建立全球供应链风险预警评价指标体系。（工业和信息化部、商务部按职责分工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六）制造服务业标准体系建设行动。深入开展信息技术、科创服务、金融服务、服务外包、售后服务、人力资源服务、现代物流、现代供应链、设施管理等服务领域标准化建设行动，推动制造服务业标准体系逐步完善。持续完善工业互联网标识解析体系、网络互联、边缘计算、数据规范体系和工业APP等共性标准，支持涉及安全健康环保的技术要求制定强制性国家标准。（市场监管总局、发展改革委、工业和信息化部、商务部、人民银行等部门按职责分工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七）制造业计量能力提升行动。构建国家现代先进测量体系，加快国家产业计量测试中心和联盟建设，培育计量测试等高技术制造服务业，聚焦制造业“测不了、测不准”难题，加强计量测试技术研究和应用，加大专用计量测试装备研发和仪器仪表研制，提升制造业整体测量能力和水平，赋能制造业产业创新和高质量发展。（市场监管总局、发展改革委、工业和信息化部、科技部按职责分工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、保障措施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八）强化组织保障。充分发挥服务业发展部际联席会议制度作用，加强统筹协调和工作指导。各地区、各有关部门要强化主体责任，形成合力，细化实化工作任务和完成时限，建立高效协同的工作推进机制，确保制造服务业发展取得实效。（发展改革委牵头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九）优化发展环境。持续放宽市场准入，进一步破除隐性壁垒。支持从制造企业剥离的制造服务业企业按规定申请认定为高新技术企业和技术先进型服务企业。鼓励制造服务业企业积极承接离岸和在岸服务外包业务。（发展改革委、科技部、商务部按职责分工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扩大开放合作。推动服务业新一轮高水平对外开放，积极引进全球优质服务资源，鼓励研发设计、节能环保、环境服务等知识技术密集型服务进口。积极推动我国技术质量标准和规范走出去，持续完善检验检测和认证认可国际合作交流体系，加快推进与重点出口市场认证证书和检验结果互认。以“一带一路”建设为重点，鼓励供应链管理、咨询、法律、会计等专业服务与制造业协同走出去，增强全球服务市场资源配置能力。（发展改革委、商务部、市场监管总局、司法部、财政部按职责分工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一）加强用地保障。各地可根据实际情况，以“先存量、后增量”的原则，在国土空间规划中明确用地结构和产业用地指标。在符合国土空间规划和用途管制的前提下，推动不同产业用地类型合理转换，探索增加混合产业用地供给，鼓励各地探索创新产业用地模式，适应制造服务业发展。（自然资源部牵头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二）强化人才支撑。加快制造服务领域创新型、应用型、复合型人才培养培训，充实壮大高水平制造服务业人才队伍。紧跟制造服务业发展趋势和市场需求，深化新工科建设，调整优化院校专业结构，加强校企合作，探索中国特色学徒制，推动产教深度融合。总结推广学历证书+若干职业技能等级证书（“1+X”证书）制度试点经验。完善技能人才评价制度，推动人才评价与使用紧密结合，打破身份、学历等限制，贯通制造服务业人才职业发展通道。进一步落实高层次人才引进政策，加大引进海外制造服务业高层次人才、领军型创业创新团队。（人力资源社会保障部、教育部、发展改革委按职责分工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三）拓宽融资渠道。引导金融机构在依法合规、风险可控的前提下，加大对制造服务业企业的融资支持力度，支持符合条件的制造服务业企业开展债券融资，有效扩大知识产权、合同能源管理未来收益权等无形资产质押融资规模，创新发展供应链金融，逐步发展大型设备、公用设施、生产线等领域的设备租赁和融资租赁服务，开发适合制造服务业特点的金融产品，鼓励创投机构加大对制造服务业的资本投入。支持符合条件的制造服务业企业到主板、创业板及境外资本市场上市融资。（人民银行、银保监会、发展改革委、证监会按职责分工负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四）构建协同发展生态。加强区域协作，增强产业布局协同性，实现功能互补、错位发展，形成一体化发展的制造服务业生态圈。支持制造服务业集聚发展，完善配套功能，优化集聚生态。依托龙头企业构建产业链增值服务的生态系统，推动上下游企业开展协同采购、协同制造、协同物流，促进大中小企业专业化分工协作，构建创新协同、产能共享、供应链互通的生态链。（发展改革委、工业和信息化部按职责分工负责）</w:t>
      </w:r>
    </w:p>
    <w:p>
      <w:pPr>
        <w:spacing w:after="156" w:afterLines="50" w:line="360" w:lineRule="auto"/>
        <w:ind w:firstLine="482" w:firstLineChars="200"/>
        <w:rPr>
          <w:rFonts w:cs="宋体" w:asciiTheme="majorEastAsia" w:hAnsiTheme="majorEastAsia" w:eastAsiaTheme="majorEastAsia"/>
          <w:b/>
          <w:bCs/>
        </w:rPr>
      </w:pPr>
    </w:p>
    <w:p>
      <w:pPr>
        <w:spacing w:after="156" w:afterLines="50" w:line="360" w:lineRule="auto"/>
        <w:ind w:firstLine="482" w:firstLineChars="200"/>
        <w:rPr>
          <w:rFonts w:cs="宋体" w:asciiTheme="majorEastAsia" w:hAnsiTheme="majorEastAsia" w:eastAsiaTheme="majorEastAsia"/>
          <w:b/>
          <w:bCs/>
        </w:rPr>
        <w:sectPr>
          <w:endnotePr>
            <w:numFmt w:val="decimal"/>
          </w:endnotePr>
          <w:pgSz w:w="11906" w:h="16838"/>
          <w:pgMar w:top="1440" w:right="1800" w:bottom="1440" w:left="1800" w:header="851" w:footer="992" w:gutter="0"/>
          <w:cols w:space="720" w:num="1"/>
          <w:docGrid w:type="lines" w:linePitch="312" w:charSpace="0"/>
        </w:sectPr>
      </w:pPr>
    </w:p>
    <w:p>
      <w:pPr>
        <w:pStyle w:val="2"/>
        <w:numPr>
          <w:ilvl w:val="0"/>
          <w:numId w:val="0"/>
        </w:numPr>
        <w:ind w:left="922" w:leftChars="0" w:hanging="440" w:firstLineChars="0"/>
      </w:pPr>
      <w:bookmarkStart w:id="642" w:name="_Toc13046"/>
      <w:r>
        <w:rPr>
          <w:rFonts w:cs="宋体" w:asciiTheme="majorEastAsia" w:hAnsiTheme="majorEastAsia" w:eastAsiaTheme="majorEastAsia"/>
          <w:b/>
          <w:bCs/>
          <w:sz w:val="24"/>
          <w:szCs w:val="24"/>
          <w:lang w:val="en-US" w:eastAsia="zh-CN" w:bidi="ar-SA"/>
        </w:rPr>
        <w:t>117.</w:t>
      </w:r>
      <w:r>
        <w:rPr>
          <w:rFonts w:hint="eastAsia"/>
        </w:rPr>
        <w:t>《中国银保监会办公厅住房和城乡建设部办公厅中国人民银行办公厅关于防止经营用途贷款违规流入房地产领域的通知》</w:t>
      </w:r>
      <w:bookmarkEnd w:id="642"/>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发文机构：中国银行保险监督管理委员会办公厅（已撤销）,住房和城乡建设部办公厅,中国人民银行办公厅</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文号：银保监办发〔2021〕39号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保监局，各省、自治区、直辖市及新疆生产建设兵团住房和城乡建设厅（委、管委、局），中国人民银行上海总部，各分行、营业管理部，各省会（首府）城市中心支行，各副省级城市中心支行，各政策性银行、大型银行、股份制银行、外资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近年来，个人经营性贷款、企业流动资金贷款等经营用途贷款在满足企业临时性周转性资金需求、提升企业持续运行能力等方面发挥了积极作用，为做好“六稳”工作、落实“六保”任务提供了有力支持。但近期一些企业和个人违规将经营用途贷款投向房地产领域问题突出，影响房地产调控政策效果，挤占支持实体经济特别是小微企业发展的信贷资源。为落实好党中央、国务院关于促进房地产市场平稳健康发展的决策部署，防止经营用途贷款违规流入房地产领域，更好地支持实体经济发展，现就有关要求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、加强借款人资质核查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业金融机构要切实加强经营用途贷款“三查”，落实好各项授信审批要求，不得向无实际经营的空壳企业发放经营用途贷款。对企业成立时间或受让企业股权时间短于1年，以及持有被抵押房产时间低于1年的借款人，要进一步加强借款主体资质审核，对工商注册、企业经营、纳税情况等各类信息进行交叉验证，不得以企业证明材料代替实质性审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、加强信贷需求审核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业金融机构要对经营用途贷款需求进行穿透式、实质性审核，要根据借款人实际经营需求合理确定授信总额，与企业年度经营收入、资金流水等实际经营情况相匹配。密切关注借款人第一还款来源，不得因抵押充足而放松对真实贷款需求的审查。坚持线上线下相结合，对贷款金额较大的，要通过多种形式全方面了解企业情况，进一步加强审核。对通过互联网渠道发放的经营用途贷款，应满足互联网贷款管理相关规定。不得向资金流水与经营情况明显不匹配的企业发放经营性贷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、加强贷款期限管理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业金融机构要做好经营用途贷款期限管理，根据借款人实际需求合理确定贷款期限。对期限超过3年的经营用途贷款，要进一步加强风险管理，建立健全内部管理制度，建立专门统计台账，逐笔登记并定期进行核查，确保贷款期限与借款人生产经营周期、资金收支规律相匹配，真正用于企业经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、加强贷款抵押物管理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对使用房产抵押的贷款，银行业金融机构要加强抵押物估值管理，合理把握贷款抵押成数。重点审查房产交易完成后短期内申请经营用途贷款的融资需求合理性，对抵押人持有被抵押房产时间低于1年的，审慎确定贷款抵押成数。抵押人持有被抵押房产时间低于3年的，银行业金融机构应定期核查贷款使用情况并保存核查记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、加强贷中贷后管理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业金融机构要进一步严格贷中贷后管理，落实资金受托支付要求，防范企业通过关联方规避受托支付要求。加强贷后资金流向监测和预警，不得以已开展受托支付为由弱化贷后资金管控。银行业金融机构应书面向借款人提示违规将信贷资金用于购房的法律风险和相关影响，在和借款人签订贷款协议时应同时签订资金用途承诺函，明确一旦发现贷款被挪用于房地产领域的将立刻收回贷款，压降授信额度，并追究相应法律责任。银行业金融机构应通过网站公示、营业网点张贴公告等方式加强宣传教育。</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 、加强银行内部管理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业金融机构要落实主体责任，进一步强化合规意识和审慎经营理念，认真梳理经营用途贷款业务操作流程，扎紧制度笼子，切实强化内部问责。要加强对分支机构经营用途贷款的监测分析。要加强员工异常行为监控，严防内外勾结，对相关违法违规人员依法严格问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 、加强中介机构管理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行业金融机构要制定各类中介机构准入标准，建立合作机构“白名单”。对存在协助借款人套取经营用途贷款行为的中介机构，一律不得进行合作，并将相关机构名单报送地方有关管理部门，对存在违法行为的及时移交司法机关。要加强对合作类业务的监测统计，对与单家中介机构合作业务快速增长的情况要重点加强分析核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房地产中介机构不得为购房人提供或与其他机构合作提供房抵经营贷等金融产品的咨询和服务，不得诱导购房人违规使用经营用途资金；在提供新房、二手房买卖经纪服务时，应要求购房人书面承诺，购房资金不存在挪用银行信贷资金等问题。各地住房和城乡建设部门建立房地产中介机构和人员违规行为“黑名单”，加大处罚问责力度并定期披露。</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 、继续支持好实体经济发展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业金融机构要进一步提升服务实体经济效能，持续加大对经济社会发展重点领域和薄弱环节的支持力度，深入贯彻落实党和国家关于金融支持小微企业发展的战略部署，保持小微企业信贷支持政策的连续性、稳定性，发挥经营用途贷款支持实体经济的积极作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 、强化协同监督检查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保监局、地方住房和城乡建设部门、人民银行分支机构要加大对经营用途贷款违规流入房地产问题的监督检查力度，畅通违规问题投诉举报方式，及时共享并联合排查违规线索；要将经营用途贷款违规流入房地产等相关问题作为各类检查的重要内容，依法严格问责，加强联合惩戒，将企业和个人违规挪用经营用途贷款的相关行政处罚信息及时纳入征信系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各银保监局、地方住房和城乡建设部门、人民银行分支机构要联合开展一次经营用途贷款违规流入房地产问题专项排查，于2021年5月31日前完成排查工作，并加大对违规问题督促整改和处罚力度。</w:t>
      </w:r>
    </w:p>
    <w:p>
      <w:pPr>
        <w:spacing w:after="156" w:afterLines="50" w:line="360" w:lineRule="auto"/>
        <w:ind w:firstLine="480" w:firstLineChars="200"/>
        <w:rPr>
          <w:rFonts w:cs="宋体" w:asciiTheme="majorEastAsia" w:hAnsiTheme="majorEastAsia" w:eastAsiaTheme="majorEastAsia"/>
        </w:rPr>
        <w:sectPr>
          <w:endnotePr>
            <w:numFmt w:val="decimal"/>
          </w:endnotePr>
          <w:pgSz w:w="11906" w:h="16838"/>
          <w:pgMar w:top="1440" w:right="1800" w:bottom="1440" w:left="1800" w:header="851" w:footer="992" w:gutter="0"/>
          <w:cols w:space="720" w:num="1"/>
          <w:docGrid w:type="lines" w:linePitch="312" w:charSpace="0"/>
        </w:sectPr>
      </w:pPr>
    </w:p>
    <w:p>
      <w:pPr>
        <w:pStyle w:val="2"/>
        <w:numPr>
          <w:ilvl w:val="0"/>
          <w:numId w:val="0"/>
        </w:numPr>
        <w:ind w:left="922" w:leftChars="0" w:hanging="440" w:firstLineChars="0"/>
      </w:pPr>
      <w:bookmarkStart w:id="643" w:name="_Toc10920"/>
      <w:r>
        <w:rPr>
          <w:rFonts w:cs="宋体" w:asciiTheme="majorEastAsia" w:hAnsiTheme="majorEastAsia" w:eastAsiaTheme="majorEastAsia"/>
          <w:b/>
          <w:bCs/>
          <w:sz w:val="24"/>
          <w:szCs w:val="24"/>
          <w:lang w:val="en-US" w:eastAsia="zh-CN" w:bidi="ar-SA"/>
        </w:rPr>
        <w:t>118.</w:t>
      </w:r>
      <w:r>
        <w:rPr>
          <w:rFonts w:hint="eastAsia"/>
        </w:rPr>
        <w:t>《关于进一步延长普惠小微企业贷款延期还本付息政策和信用贷款支持政策实施期限有关事宜的通知》</w:t>
      </w:r>
      <w:bookmarkEnd w:id="643"/>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发文机构：中国人民银行,中国银行保险监督管理委员会（已撤销）,财政部,国家发展和改革委员会,工业和信息化部</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文号：银发〔2021〕81号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保持对小微企业的金融支持力度不减，确保小微企业融资更便利、综合融资成本稳中有降，根据国务院常务会议议定事项，决定进一步延长普惠小微企业贷款延期还本付息政策和信用贷款支持政策，实施期限至2021年底。现就有关事宜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、继续实施普惠小微企业贷款延期还本付息政策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普惠小微企业贷款延期还本付息政策延期至2021年12月31日。对于2021年4月1日至12月31日期间到期的普惠小微企业贷款（包括单户授信1000万元及以下的小微企业贷款、个体工商户和小微企业主经营性贷款，下同），由企业和银行自主协商确定，继续实施阶段性延期还本付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对于城市商业银行、农村商业银行、农村合作银行、村镇银行、农村信用社、民营银行等地方法人银行业金融机构办理的延期期限不少于6个月的普惠小微企业贷款，人民银行通过货币政策工具，按照延期贷款本金的1%给予激励，激励资金总额控制在国务院批准的额度内。同一笔贷款（含以前已延期过的贷款）只能再获得一次人民银行提供的激励。</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、继续实施普惠小微企业信用贷款支持政策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普惠小微企业信用贷款支持政策延期至2021年12月31日。对于符合条件的地方法人银行业金融机构新发放的普惠小微企业信用贷款，人民银行通过货币政策工具继续给予优惠资金支持，加大对个体工商户的支持。货币政策工具支持范围为2021年4月1日至12月31日期间新发放且期限不小于6个月的贷款，支持比例为贷款本金的40%，资金总量控制在国务院批准的再贷款额度内。符合条件的地方法人银行业金融机构为最新中央银行评级1-5级的地方法人银行业金融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人民银行通过货币政策工具支持的贷款，仍由放贷银行管理，贷款利息由放贷银行收取，坏账损失也由放贷银行承担。人民银行通过货币政策工具提供的优惠资金支持，放贷银行应于收到资金之日起满一年时按原金额返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、配套政策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对于银行因执行上述政策产生的流动性问题，人民银行综合运用多种货币政策工具，保持银行体系流动性合理充裕。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对于实施延期还本付息的贷款，银行应坚持实质性风险判断，不因疫情因素下调贷款风险分类，不影响企业征信记录。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各级财政部门在考核国有控股和参股的银行2021年经营绩效时，应充分考虑阶段性延期还本付息政策对银行业绩的影响，给予合理调整和评价。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、工作要求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人民银行各级分支机构、各银保监会派出机构和各级财政、发展改革、中小企业主管部门要加强协同配合，按照“六稳”“六保”工作要求，强化政策传导，狠抓贯彻落实，提升辖区内银行的小微企业服务能力，确保小微企业融资更便利、综合融资成本稳中有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人民银行分支机构要会同银保监会派出机构做好辖区内银行的普惠小微企业贷款延期还本付息和普惠小微企业信用贷款投放情况监测评估，防范政策执行中的道德风险和金融风险，加强组织推动，确保政策取得实效。要严格执行相关政策，运用央行资金精准支持普惠小微企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金融机构要提高政治站位，高度重视对小微企业等实体经济的金融支持工作，强化责任担当，按照金融供给侧结构性改革要求，提升对小微企业金融服务能力。要切实承担对普惠小微企业贷款的审查责任，严格按照政策要求申请央行资金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通知自印发之日起实施。普惠小微企业贷款延期还本付息政策和普惠小微信用贷款支持政策有关工作流程，包括材料提交和审核，台账建立和报送，业务风险管理等，继续执行《中国人民银行银保监会财政部发展改革委工业和信息化部关于进一步对中小微企业贷款实施阶段性延期还本付息的通知》（银发〔2020〕122号）和《中国人民银行银保监会财政部发展改革委工业和信息化部关于加大小微企业信用贷款支持力度的通知》（银发〔2020〕123号）有关规定。</w:t>
      </w:r>
    </w:p>
    <w:p>
      <w:pPr>
        <w:spacing w:after="156" w:afterLines="50" w:line="360" w:lineRule="auto"/>
        <w:ind w:firstLine="480" w:firstLineChars="200"/>
        <w:rPr>
          <w:rFonts w:cs="宋体" w:asciiTheme="majorEastAsia" w:hAnsiTheme="majorEastAsia" w:eastAsiaTheme="majorEastAsia"/>
        </w:rPr>
        <w:sectPr>
          <w:endnotePr>
            <w:numFmt w:val="decimal"/>
          </w:endnotePr>
          <w:pgSz w:w="11906" w:h="16838"/>
          <w:pgMar w:top="1440" w:right="1800" w:bottom="1440" w:left="1800" w:header="851" w:footer="992" w:gutter="0"/>
          <w:cols w:space="720" w:num="1"/>
          <w:docGrid w:type="lines" w:linePitch="312" w:charSpace="0"/>
        </w:sectPr>
      </w:pPr>
    </w:p>
    <w:p>
      <w:pPr>
        <w:pStyle w:val="2"/>
        <w:numPr>
          <w:ilvl w:val="0"/>
          <w:numId w:val="0"/>
        </w:numPr>
        <w:ind w:left="922" w:leftChars="0" w:hanging="440" w:firstLineChars="0"/>
      </w:pPr>
      <w:bookmarkStart w:id="644" w:name="_Toc18372"/>
      <w:r>
        <w:rPr>
          <w:rFonts w:cs="宋体" w:asciiTheme="majorEastAsia" w:hAnsiTheme="majorEastAsia" w:eastAsiaTheme="majorEastAsia"/>
          <w:b/>
          <w:bCs/>
          <w:sz w:val="24"/>
          <w:szCs w:val="24"/>
          <w:lang w:val="en-US" w:eastAsia="zh-CN" w:bidi="ar-SA"/>
        </w:rPr>
        <w:t>119.</w:t>
      </w:r>
      <w:r>
        <w:rPr>
          <w:rFonts w:hint="eastAsia"/>
        </w:rPr>
        <w:t>《中国银保监会办公厅关于2021年进一步推动小微企业金融服务高质量发展的通知》</w:t>
      </w:r>
      <w:bookmarkEnd w:id="64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发文机构：中国银行保险监督管理委员会办公厅（已撤销）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文号：银保监办发〔2021〕49号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各银保监局，各政策性银行、大型银行、股份制银行、外资银行，各保险公司：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深入贯彻落实党的十九届五中全会精神，为“十四五”时期经济社会发展开好局、起好步，按照中央经济工作会议关于继续做好“六稳”“六保”工作、强化普惠金融服务、增加小微企业和个体工商户活力的决策部署，经银保监会同意，现就2021年进一步推动小微企业金融服务高质量发展有关工作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、总体目标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牢牢把握高质量发展主题，进一步提升小微企业金融服务整体效能。以新发展理念为引领，深化供给侧结构性改革，在小微企业金融供给总量继续有效增长的基础上，努力实现供给质量、效率、效益的明显提升。坚持创新驱动发展，做活存量金融资源配置，扩大优质增量供给，优化小微企业金融服务的地区、产业、行业分布结构，丰富供给手段，更有力地支持小微企业在科技创新和产业结构升级中发挥作用，实现小微企业金融服务高质量发展与银行业保险业自身高质量发展的相互促进、有机统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、以信贷投放为抓手，确保稳定高效的增量金融供给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围绕“两增”目标，确保对小微企业的信贷支持力度。银行业金融机构要继续发挥好小微企业间接融资的主渠道作用，实现信贷供给总量稳步增长。要继续将单户授信总额1000万元以下（含）的普惠型小微企业贷款作为投放重点，2021年努力实现此类贷款较年初增速不低于各项贷款增速，有贷款余额的户数不低于年初水平的“两增”目标。五家大型银行要努力实现普惠型小微企业贷款全年增长30%以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突出各类机构差异化定位，形成有序竞争、各有侧重的信贷供给格局。大型银行、股份制银行要发挥行业带头作用，主动“啃硬骨头”，下沉服务重心，覆盖小微企业融资供给“空白地带”，努力实现2021年新增小型微型企业“首贷户”数量高于2020年。大型银行要将小型微型企业“首贷户”占比纳入内部绩效指标。地方性法人银行（含城市商业银行、民营银行、农村中小银行，下同）要回归服务地方、服务社区、服务实体经济的本源，把握“地缘、亲缘、人缘”的软信息优势，完善网点布局，改进信贷产品、技术和服务，做优做实传统金融业务，筑牢本地小微企业客户基础。开发银行、政策性银行要进一步健全完善转贷款业务治理体系，强化对合作银行的准入管理，立足职能定位稳步加大转贷款投放力度，为小微企业提供较低成本的信贷资金。外资银行、非银行金融机构可根据自身业务特点和市场定位，参照“两增”要求，制定小微企业业务发展目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完善定价机制，将小微企业融资利率保持在合理水平。商业银行要疏通内部利率传导机制，根据贷款市场报价利率（LPR）走势，合理确定小微企业贷款利率，确保2021年新发放普惠型小微企业贷款利率在2020年基础上继续保持平稳态势。开发银行、政策性银行要对合作银行明确约定，以转贷款资金发放的小微企业贷款平均利率，不得高于当地同类机构同类贷款平均水平，引导合作银行加大对小微企业贷款利率的优惠力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落实服务价格管理要求，规范融资收费。银行业金融机构要严格执行国家价格主管部门和银保监会关于规范商业银行服务价格管理和信贷融资收费的规定，杜绝对小微企业违规收费行为。保险机构向小微企业开展融资性信保业务，应谨慎评估风险和运营成本，结合履约义务人的实际风险水平和综合承受能力合理厘定费率，建立科学合理的风险分担机制。银行保险机构通过银保合作或与第三方机构合作向小微企业提供融资服务的，要评估各环节费用，合理确定综合成本，避免多段收费加重小微企业实际融资负担。鼓励银行保险机构积极践行社会责任，向小微企业特别是因疫情遇困的小微企业主动减免服务收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加强小微企业贷款用途监控，确保资金投向真实合规。银行业金融机构要做实贷款“三查”，强化内控合规管理，严禁虚构小微企业贷款用途“套利”，防止信贷资金变相流入资本市场和政府融资平台、房地产等调控领域。开发性、政策性银行与商业银行开展转贷款合作的，双方均应严格按照业务实质进行会计核算，建立单独的批发资金账户和管理台账，加强业务穿透管理和资金用途监测，确保贷款全部投向小微企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、以支持创新为出发点，全面优化金融供给结构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着眼小微企业融资“痛点”“弱点”，补齐信贷业务短板。银行业金融机构要进一步创新完善针对小型微型企业法人的信用评价模型、风险管控技术和批量授信审批机制，扩大信贷服务覆盖面，并着力优化开立对公账户、支付结算等基础金融服务。要结合小微企业所在行业资金需求特点，合理设置贷款期限，推广“随借随还”模式。要继续加大小微企业首贷、续贷、信用贷款投放力度，重点增加对先进制造业、战略性新兴产业和产业链供应链自主可控的中长期信贷支持。要根据“首贷户”真实融资需求和征信状况合理设置授信审批条件。鼓励大型银行、股份制银行与国家融资担保基金推广“见贷即保”的批量担保业务合作模式，鼓励地方性法人银行与政府性融资担保机构加强合作，优先为“首贷户”提供担保。地方性法人银行要用好用足普惠小微信用贷款支持计划，配套投入自有资金，加大对小微企业的信用贷款投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丰富普惠保险产品业务，更好地为小微企业提供融资增信和保障服务。鼓励深化银保合作机制，在风险可控的前提下，探索创新面向小微企业的保单融资产品。支持保险机构稳健发展出口信用保险和国内贸易信用保险，提升承保能力，合理降低小微企业投保成本。鼓励银行业金融机构为小微企业提供信用保险项下的贸易融资服务。保险机构要加强基础管理，对投保客户进行大中小微企业类型识别，提高产品和业务研发的针对性。进一步畅通线上服务渠道，提高投保、承保审批、理赔效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主动倾斜业务布局，以金融资源带动小微企业发展。银行保险机构要主动对接行业、产业主管部门，依托高新技术开发区、产业基地、科技园区等的有利条件，发挥自身的资金、技术、资源、信息、平台优势，深化产融合作，积极参与培育、引导、支持创业创新和扩大市场，助力小微企业发展，发掘和创造有效融资需求。大型银行、股份制银行制定小微企业信贷计划时，要结合业务基础和增长潜力合理安排任务，对业务基础薄弱的一级分行加大督导帮扶力度；一级分行向下分解信贷计划时，要向辖内相对落后地区倾斜投放，压实帮扶当地小微企业发展的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探索完善科技型小微企业金融服务，促进新技术产业化规模化应用。银行保险机构要充分认识科技型小微企业前瞻性、高风险、高成长的特点，联动科技主管部门、科技融资担保机构、科技金融服务中介机构，全面分析、研判、评估企业核心技术、创新能力和潜在风险，针对性地开发金融产品和服务模式，满足企业技术研发、成果转化、装备购置、产能扩张等融资需求。对掌握产业“专精特新”技术、特别是在“卡脖子”关键技术攻关中发挥作用的小微企业，要量身定做金融服务方案，及时给予资金支持。鼓励银行业金融机构提供信用贷款、知识产权质押贷款、股权质押贷款等产品，探索将科技型小微企业的高管、研发等关键岗位人才信息作为授信评审要素，加强与外部投资机构合作，探索多样化的科技金融服务模式。鼓励保险机构开发推广履约保证保险、首台（套）重大技术装备及关键研发设备的财产险、产品责任险、产品质量保证险、专利险等特色产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加强产业链供应链金融创新，助力与资金链有效对接。鼓励银行业金融机构围绕产业链供应链核心企业，“一企一策”制定覆盖上下游小微企业的综合金融服务方案。在依法合规、风险可控基础上，充分运用大数据、区块链、人工智能等金融科技，在农业、制造业、批发零售业、物流业等重点领域搭建供应链产业链金融平台，提供方便快捷的线上融资服务。整合发挥银行在数据信息、IT系统、客户资源等方面的优势，帮助核心企业打通产业链上下游环节，培育小微企业客户集群。优化对核心企业上下游小微企业的融资和结算服务，依托产业链供应链的交易数据、资金流和物流信息，有序发展面向上下游小微企业的信用融资和应收账款、预付款、存货、仓单等动产质押融资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、做优机制体制和专业能力，实现“敢贷愿贷、能贷会贷”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对照监管评价要求，完善“敢贷愿贷”内部机制。银行业金融机构要对照商业银行小微企业金融服务监管评价指标，进一步完善内部机制体制，强化对小微企业“敢贷愿贷”的内生动力。要不折不扣落实“普惠金融类指标在内部绩效考核指标中权重占比10%以上”的政策要求。大型银行、股份制银行要将“内部转移定价（FTP）优惠力度不低于50个基点”的要求执行到位；地方性法人银行要结合自身实际，完善成本分摊和收益分享机制，对小微信贷业务实施内部转移定价优惠或经济利润补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三）进一步细化落实不良容忍度和授信尽职免责规定，切实保护基层积极性。银行业金融机构要认真执行“普惠型小微企业贷款不良率不高于各项贷款不良率3个百分点以内”的容忍度标准，在内部考核中明确区分不良贷款容忍度与贷款质量管理目标，准确向基层传达政策导向。要将授信尽职免责与不良容忍度有机结合，普惠型小微企业贷款实际不良率在容忍度以内的分支机构，对分支机构负责人、小微业务部门和从业人员，无违反法律法规和监管规范制度行为的，可免予追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四）综合运用金融科技手段和信用信息资源，增强“能贷会贷”服务能力。银行业金融机构要综合运用互联网大数据等金融科技手段，积极参与“银税互动”“银商合作”“信易贷”等信用信息共享机制，将公共涉企数据与机构内部金融数据有机结合，改进业务审批技术和风险管理模型，为小微企业准确“画像”，实现金融资源向长尾客户的精准“滴灌”。要主动向信用信息主管部门反映数据需求，推动提高数据标准化水平，优化共享方式。要高度重视信息传输、存储和使用中的数据安全管理，压实保密责任，与第三方机构合作处理涉企信息的，要在合作机制中明确制定、严格落实数据安全管理制度，防范信息泄露和盗用。要总结新冠肺炎疫情期间拓展线上服务渠道、开展“无接触”金融服务的经验做法，进一步优化流程，提高服务效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五）充分传导政策红利，用好用足配套支持机制。银行保险机构要充分把握小微企业金融服务的相关货币、税收减免、地方财政风险补偿和增量奖励等政策利好，积极争取支持。通过相关激励优惠政策获得的红利，要在内部考核机制中向小微企业业务条线、基层分支机构和一线从业人员传导，激发展业积极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、多措并举盘活存量信贷资源，提高金融供给效率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六）做好贷款期限管理，确保惠企纾困政策平稳衔接。银行业金融机构要继续落实好贷款阶段性延期还本付息政策。对符合条件的普惠型小微企业贷款，要向企业宣讲告知政策，双方自主协商确定本息延期安排。对货车司机、出租车司机、网店店主等个体经营者，可比照个体工商户和小微企业主，在同等条件下为其经营性贷款办理延期还本付息。要进一步加大续贷产品开发推广力度，提升续贷业务在小微企业贷款中的比重。对已延期的小微企业贷款中符合本行续贷条件的，应按正常续贷手续办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七）鼓励开展信贷资产流转，盘活存量小微企业信贷资源。鼓励银行业金融机构在依法合规、风险可控的前提下，通过信贷资产证券化、信贷资产直接转让等业务，盘活信贷存量，用于持续投放小微企业贷款。银行业金融机构对普惠型小微企业贷款进行直接转让的，出让方按照法律法规规定及合同约定取得借款人同意后，即可以进行转让，并应将转让行为及时、充分地告知借款人。转让双方应确保信贷资产真实、完全转移，且不额外增加借款人实际债务和履约成本。转让双方应按照法律法规规定做好借款人个人信息保护，不得过度处理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八）进一步拓宽不良贷款处置渠道，鼓励主动化解风险。鼓励银行业金融机构通过依法合规的核销、转让等方式，加大对小微企业不良贷款的处置力度。鼓励符合条件的银行业金融机构按照有关监管政策规定，在银行业信贷资产登记流转中心开展小微企业主、个体工商户不良贷款批量转让和小型微型企业法人贷款单户转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 、强化监管引领督导，推动营造更好外部环境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九）推动深化信用信息共享机制，加快建设综合金融服务平台。各级监管部门要积极参与推进信用信息共享机制建设工作。各银保监局要加强向地方党委政府的汇报建言，努力推动将建设地方综合金融服务平台纳入当地“十四五”规划，扩大基础公共信息数据有序开放。重点整合本地区的跨部门涉企信用信息，继续提升数据归集共享的广度和深度。协同信用信息体系建设主管部门加强数据质量治理，明确接入标准，引导鼓励银行保险机构对接综合金融服务平台，在安全合规运用数据的前提下，为小微企业提供更便利的金融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用好监管评价“指挥棒”，实施分类考核督导。继续实施以法人银行业金融机构为主要对象、银保监会和银保监局上下联动的监管督导考核方式。各级监管部门要用好商业银行小微企业金融服务监管评价的“指挥棒”，以评价为载体，做好监管政策宣讲辅导和政策后评估，对辖内银行小微信贷投放、机制体制、产品模式、规范服务、数据质量等情况进行全面“体检”。结合监管评价结果，督促相关银行查漏补缺，锻造长板，补齐短板。</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一）加强调研监测，做好经验总结。各银保监局要指导当地银行业协会，组织辖内银行业金融机构用好“百行进万企”平台数据，巩固融资对接工作成果，对参与对接的小微企业、特别是前期反映无融资需求的小微企业加强回访，及时响应新的融资需求。要在做好常规监管统计的基础上，对阶段性延期还本付息、信用贷款支持计划等政策执行情况加强专项监测。对辖内小微企业信贷投放结构、趋势加强调研分析，重点关注贷款规模、客户数量短期内增长异常的银行业金融机构，研判是否存在为“冲规模”“冲时点”而在营销获客、授信审批、贷后管理等核心环节过度依赖第三方机构的隐患，及时纠偏。要加强对银行保险机构做好“六稳”“六保”工作举措和成效的总结，主动向地方党委政府和相关部门汇报沟通，争取监管、财政、产业、就业、区域等政策与银行保险机构的实践同向发力，推动形成更好支持小微企业融资的长效机制。</w:t>
      </w:r>
    </w:p>
    <w:p>
      <w:pPr>
        <w:spacing w:after="156" w:afterLines="50" w:line="360" w:lineRule="auto"/>
        <w:ind w:firstLine="480" w:firstLineChars="200"/>
        <w:rPr>
          <w:rFonts w:cs="宋体" w:asciiTheme="majorEastAsia" w:hAnsiTheme="majorEastAsia" w:eastAsiaTheme="majorEastAsia"/>
        </w:rPr>
        <w:sectPr>
          <w:endnotePr>
            <w:numFmt w:val="decimal"/>
          </w:endnotePr>
          <w:pgSz w:w="11906" w:h="16838"/>
          <w:pgMar w:top="1440" w:right="1800" w:bottom="1440" w:left="1800" w:header="851" w:footer="992" w:gutter="0"/>
          <w:cols w:space="720" w:num="1"/>
          <w:docGrid w:type="lines" w:linePitch="312" w:charSpace="0"/>
        </w:sectPr>
      </w:pPr>
    </w:p>
    <w:p>
      <w:pPr>
        <w:pStyle w:val="2"/>
        <w:numPr>
          <w:ilvl w:val="0"/>
          <w:numId w:val="0"/>
        </w:numPr>
        <w:ind w:left="922" w:leftChars="0" w:hanging="440" w:firstLineChars="0"/>
      </w:pPr>
      <w:bookmarkStart w:id="645" w:name="_Toc16584"/>
      <w:r>
        <w:rPr>
          <w:rFonts w:cs="宋体" w:asciiTheme="majorEastAsia" w:hAnsiTheme="majorEastAsia" w:eastAsiaTheme="majorEastAsia"/>
          <w:b/>
          <w:bCs/>
          <w:sz w:val="24"/>
          <w:szCs w:val="24"/>
          <w:lang w:val="en-US" w:eastAsia="zh-CN" w:bidi="ar-SA"/>
        </w:rPr>
        <w:t>120.</w:t>
      </w:r>
      <w:r>
        <w:rPr>
          <w:rFonts w:hint="eastAsia"/>
        </w:rPr>
        <w:t>中国人民银行关于印发《银行业金融机构绿色金融评价方案》的通知</w:t>
      </w:r>
      <w:bookmarkEnd w:id="64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发文机构：中国人民银行</w:t>
      </w:r>
      <w:r>
        <w:rPr>
          <w:rFonts w:hint="eastAsia" w:cs="宋体" w:asciiTheme="majorEastAsia" w:hAnsiTheme="majorEastAsia" w:eastAsiaTheme="majorEastAsia"/>
        </w:rPr>
        <w:tab/>
      </w:r>
      <w:r>
        <w:rPr>
          <w:rFonts w:hint="eastAsia" w:cs="宋体" w:asciiTheme="majorEastAsia" w:hAnsiTheme="majorEastAsia" w:eastAsiaTheme="majorEastAsia"/>
        </w:rPr>
        <w:t>文号：银发〔2021〕142号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中国人民银行上海总部，各分行、营业管理部，各省会（首府）城市中心支行；国家开发银行，各政策性银行、国有商业银行、股份制商业银行，中国邮政储蓄银行，北京银行，上海银行，江苏银行：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提升金融支持绿色低碳高质量发展的能力，落实《关于构建绿色金融体系的指导意见》（银发〔2016〕228号文）等文件精神，优化绿色金融激励约束机制，中国人民银行制定了《银行业金融机构绿色金融评价方案》，现印发给你们，请认真贯彻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人民银行分支机构要根据《银行业金融机构绿色金融评价方案》要求，结合实际制定辖区内银行业金融机构（法人）绿色金融评价实施细则并做好评价工作，积极探索拓展评价结果应用，着力提升银行业金融机构绿色金融绩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本通知自2021年7月1日起施行。《中国人民银行关于开展银行业存款类金融机构绿色信贷业绩评价的通知》（银发〔2018〕180号）同时废止。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执行过程中如遇新问题、新情况，及时向中国人民银行反馈。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中国人民银行</w:t>
      </w:r>
    </w:p>
    <w:p>
      <w:pPr>
        <w:spacing w:after="156" w:afterLines="50" w:line="360" w:lineRule="auto"/>
        <w:ind w:firstLine="480" w:firstLineChars="200"/>
        <w:rPr>
          <w:rFonts w:cs="宋体" w:asciiTheme="majorEastAsia" w:hAnsiTheme="majorEastAsia" w:eastAsiaTheme="majorEastAsia"/>
        </w:rPr>
        <w:sectPr>
          <w:endnotePr>
            <w:numFmt w:val="decimal"/>
          </w:endnotePr>
          <w:pgSz w:w="11906" w:h="16838"/>
          <w:pgMar w:top="1440" w:right="1800" w:bottom="1440" w:left="1800" w:header="851" w:footer="992" w:gutter="0"/>
          <w:cols w:space="720" w:num="1"/>
          <w:docGrid w:type="lines" w:linePitch="312" w:charSpace="0"/>
        </w:sectPr>
      </w:pPr>
      <w:r>
        <w:rPr>
          <w:rFonts w:hint="eastAsia" w:cs="宋体" w:asciiTheme="majorEastAsia" w:hAnsiTheme="majorEastAsia" w:eastAsiaTheme="majorEastAsia"/>
        </w:rPr>
        <w:t>2021年5月27日</w:t>
      </w:r>
    </w:p>
    <w:p>
      <w:pPr>
        <w:pStyle w:val="2"/>
        <w:numPr>
          <w:ilvl w:val="0"/>
          <w:numId w:val="0"/>
        </w:numPr>
        <w:ind w:left="922" w:leftChars="0" w:hanging="440" w:firstLineChars="0"/>
      </w:pPr>
      <w:bookmarkStart w:id="646" w:name="_Toc3555"/>
      <w:r>
        <w:rPr>
          <w:rFonts w:cs="宋体" w:asciiTheme="majorEastAsia" w:hAnsiTheme="majorEastAsia" w:eastAsiaTheme="majorEastAsia"/>
          <w:b/>
          <w:bCs/>
          <w:sz w:val="24"/>
          <w:szCs w:val="24"/>
          <w:lang w:val="en-US" w:eastAsia="zh-CN" w:bidi="ar-SA"/>
        </w:rPr>
        <w:t>121.</w:t>
      </w:r>
      <w:r>
        <w:rPr>
          <w:rFonts w:hint="eastAsia"/>
        </w:rPr>
        <w:t>《银行业信贷资产登记流转中心银行业信贷资产流转集中登记规则》的通知</w:t>
      </w:r>
      <w:bookmarkEnd w:id="64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发文机构：规范性文件</w:t>
      </w:r>
      <w:r>
        <w:rPr>
          <w:rFonts w:hint="eastAsia" w:cs="宋体" w:asciiTheme="majorEastAsia" w:hAnsiTheme="majorEastAsia" w:eastAsiaTheme="majorEastAsia"/>
        </w:rPr>
        <w:tab/>
      </w:r>
      <w:r>
        <w:rPr>
          <w:rFonts w:hint="eastAsia" w:cs="宋体" w:asciiTheme="majorEastAsia" w:hAnsiTheme="majorEastAsia" w:eastAsiaTheme="majorEastAsia"/>
        </w:rPr>
        <w:t>银行业信贷资产登记流转中心</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文号：银登字〔2021〕32号</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第一条为进一步规范信贷资产流转集中登记业务，提高登记效率，有效防范金融风险，根据《中国银监会办公厅关于银行业信贷资产流转集中登记的通知》(银监办发[2015]108号)的相关要求，制定本规则。</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二条信贷资产流转登记指登记机构对流转标的及其对应的底层资产(如有)的登记要素进行格式化记载，对权利人持有的流转标的进行簿记，对交易文件、流转标的及其对应底层资产(如有)的相关证明文件进行电子化存储等登记行为。第三条银行业信贷资产登记流转中心(以下简称银登中心)承担信贷资产流转集中登记职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银登中心本着为市场服务的宗旨，制定相关登记规则，明确实施细则和操作流程，建立安全、高效运行的技术系统，完善软、硬件设施，充分发挥金融基础设施机构的作用。</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四条出让方向银登中心提交的信贷资产流转集中登记信息及相关材料中不得存在虚假记载、误导性陈述和重大遗漏，并对登记信息及材料的真实性、准确性、完整性、合法性和有效性承担完全法律责任，银登中心据此为其办理登记。</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第五条信贷资产流转的参与主体，须在银登中心开立资产账户办理信贷资产流转集中登记。</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第六条信贷资产流转登记的内容包括:</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(一)流转标的及其对应底层资产(如有)的要素;</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(二)流转标的持有人、持有数量及其变更情况;</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(三)交易文件、流转标的及其对应底层资产(如有)的相关证明文件;</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(四)其他银登中心认为必要的信息</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七条拟通过银登中心开展信贷资产流转业务的，出让方须在流转前登记信贷资产。银登中心按照监管要求对资产登记信息和材料进行核对，核对通过后配发唯一的资产代码;对于不符合监管要求的资产不予登记。通过核对的资产可通过银登中心业务系统转让。</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第八条未通过银登中心开展信贷资产流转业务的，出让方须在成交后十个工作日之内将信贷资产要素信息、交易信息及相关合同文本提交至银登中心，核对通过后，完成流转登记</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九条信贷资产流转登记业务的相关参与方，应严格执行国家信息保密相关规定，建立健全信息保密工作机制，严格控制个人信息的知悉和使用范围，做好信息保密工作。对业务过程中知悉、获取的个人信息依法予以保密，不得非法复制、非法存储非法使用、向他人出售或者以其他非法形式泄露个人信息，不得用于其他非法目的。</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第十条银登中心按照银保监会要求严格履行日常监测和统计职责，服务于银保监会的非现场监管和现场检查要求，根据监管要求定期提交登记情况报告，促进信贷资产流转健康、有序开展。</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第十一条由于网络通讯传输障碍、电力供应故障、与银登中心业务系统相连接的其他机构业务系统的故障或其他不可抗力原因引起相关损失或损害的，银登中心免责</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第十二条本规则由银登中心负责解释和修订。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第十三条本规则自发布之日起施行。原《银行业信贷资产流转集中登记规则》(银登字[2015]9号)同时废止</w:t>
      </w:r>
    </w:p>
    <w:p>
      <w:pPr>
        <w:spacing w:after="156" w:afterLines="50" w:line="360" w:lineRule="auto"/>
        <w:ind w:firstLine="480" w:firstLineChars="200"/>
        <w:rPr>
          <w:rFonts w:cs="宋体" w:asciiTheme="majorEastAsia" w:hAnsiTheme="majorEastAsia" w:eastAsiaTheme="majorEastAsia"/>
        </w:rPr>
        <w:sectPr>
          <w:endnotePr>
            <w:numFmt w:val="decimal"/>
          </w:endnotePr>
          <w:pgSz w:w="11906" w:h="16838"/>
          <w:pgMar w:top="1440" w:right="1800" w:bottom="1440" w:left="1800" w:header="851" w:footer="992" w:gutter="0"/>
          <w:cols w:space="720" w:num="1"/>
          <w:docGrid w:type="lines" w:linePitch="312" w:charSpace="0"/>
        </w:sectPr>
      </w:pPr>
      <w:r>
        <w:rPr>
          <w:rFonts w:hint="eastAsia" w:cs="宋体" w:asciiTheme="majorEastAsia" w:hAnsiTheme="majorEastAsia" w:eastAsiaTheme="majorEastAsia"/>
        </w:rPr>
        <w:tab/>
      </w:r>
    </w:p>
    <w:p>
      <w:pPr>
        <w:pStyle w:val="2"/>
        <w:numPr>
          <w:ilvl w:val="0"/>
          <w:numId w:val="0"/>
        </w:numPr>
        <w:ind w:left="922" w:leftChars="0" w:hanging="440" w:firstLineChars="0"/>
      </w:pPr>
      <w:bookmarkStart w:id="647" w:name="_Toc17039"/>
      <w:r>
        <w:rPr>
          <w:rFonts w:cs="宋体" w:asciiTheme="majorEastAsia" w:hAnsiTheme="majorEastAsia" w:eastAsiaTheme="majorEastAsia"/>
          <w:b/>
          <w:bCs/>
          <w:sz w:val="24"/>
          <w:szCs w:val="24"/>
          <w:lang w:val="en-US" w:eastAsia="zh-CN" w:bidi="ar-SA"/>
        </w:rPr>
        <w:t>122.</w:t>
      </w:r>
      <w:r>
        <w:rPr>
          <w:rFonts w:hint="eastAsia"/>
        </w:rPr>
        <w:t>《宏观审慎政策指引（试行）》</w:t>
      </w:r>
      <w:bookmarkEnd w:id="647"/>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发文机构：中国人民银行</w:t>
      </w:r>
      <w:r>
        <w:rPr>
          <w:rFonts w:hint="eastAsia" w:cs="宋体" w:asciiTheme="majorEastAsia" w:hAnsiTheme="majorEastAsia" w:eastAsiaTheme="majorEastAsia"/>
        </w:rPr>
        <w:tab/>
      </w:r>
      <w:r>
        <w:rPr>
          <w:rFonts w:hint="eastAsia" w:cs="宋体" w:asciiTheme="majorEastAsia" w:hAnsiTheme="majorEastAsia" w:eastAsiaTheme="majorEastAsia"/>
        </w:rPr>
        <w:t>文号：中国人民银行公告〔2021〕第25号</w:t>
      </w:r>
    </w:p>
    <w:p>
      <w:pPr>
        <w:spacing w:after="156" w:afterLines="50" w:line="360" w:lineRule="auto"/>
        <w:ind w:firstLine="482" w:firstLineChars="200"/>
        <w:outlineLvl w:val="0"/>
        <w:rPr>
          <w:rFonts w:cs="宋体" w:asciiTheme="majorEastAsia" w:hAnsiTheme="majorEastAsia" w:eastAsiaTheme="majorEastAsia"/>
          <w:b/>
          <w:bCs/>
        </w:rPr>
      </w:pPr>
      <w:bookmarkStart w:id="648" w:name="_Toc17221"/>
      <w:r>
        <w:rPr>
          <w:rFonts w:hint="eastAsia" w:cs="宋体" w:asciiTheme="majorEastAsia" w:hAnsiTheme="majorEastAsia" w:eastAsiaTheme="majorEastAsia"/>
          <w:b/>
          <w:bCs/>
        </w:rPr>
        <w:t>第一章总则</w:t>
      </w:r>
      <w:bookmarkEnd w:id="648"/>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为健全宏观审慎政策框架，提高防范和化解系统性金融风险的能力，增强宏观审慎政策透明度，制定本指引。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宏观审慎政策框架包括宏观审慎政策目标、风险评估、政策工具、传导机制与治理机制等，是确保宏观审慎政策有效实施的重要机制。宏观审慎管理部门将在实践探索中不断丰富和完善宏观审慎政策框架。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在金融委的统筹指导下，中国人民银行作为宏观审慎管理牵头部门，会同相关部门履行宏观审慎管理职责，牵头建立健全宏观审慎政策框架，监测、识别、评估、防范和化解系统性金融风险，畅通宏观审慎政策传导机制，组织运用好宏观审慎政策工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宏观审慎政策适用于依法设立的、经国务院金融管理部门批准从事金融业务或提供金融服务的机构，以及可能积聚和传染系统性金融风险的金融活动、金融市场、金融基础设施等。</w:t>
      </w:r>
    </w:p>
    <w:p>
      <w:pPr>
        <w:spacing w:after="156" w:afterLines="50" w:line="360" w:lineRule="auto"/>
        <w:ind w:firstLine="482" w:firstLineChars="200"/>
        <w:outlineLvl w:val="0"/>
        <w:rPr>
          <w:rFonts w:cs="宋体" w:asciiTheme="majorEastAsia" w:hAnsiTheme="majorEastAsia" w:eastAsiaTheme="majorEastAsia"/>
          <w:b/>
          <w:bCs/>
        </w:rPr>
      </w:pPr>
      <w:bookmarkStart w:id="649" w:name="_Toc19685"/>
      <w:r>
        <w:rPr>
          <w:rFonts w:hint="eastAsia" w:cs="宋体" w:asciiTheme="majorEastAsia" w:hAnsiTheme="majorEastAsia" w:eastAsiaTheme="majorEastAsia"/>
          <w:b/>
          <w:bCs/>
        </w:rPr>
        <w:t>第二章宏观审慎政策框架</w:t>
      </w:r>
      <w:bookmarkEnd w:id="649"/>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宏观审慎政策的目标是防范系统性金融风险，尤其是防止系统性金融风险顺周期累积以及跨机构、跨行业、跨市场和跨境传染，提高金融体系韧性和稳健性，降低金融危机发生的可能性和破坏性，促进金融体系的整体健康与稳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系统性金融风险评估是指综合运用风险评估工具和监管判断，识别金融体系中系统性金融风险的来源和表现，衡量系统性金融风险的整体态势、发生可能性和潜在危害程度。及时、准确识别系统性金融风险是实施宏观审慎政策的基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根据系统性金融风险的特征，结合我国实际并借鉴国际经验，开发和储备适用于我国国情的一系列政策工具，建立健全宏观审慎政策工具箱。针对评估识别出的系统性金融风险，使用适当的宏观审慎政策工具，以实现宏观审慎政策目标。不断丰富和完善的宏观审慎政策工具，是提升宏观审慎政策执行效果的必要手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宏观审慎政策传导机制是指通过运用宏观审慎政策工具，对金融机构、金融基础设施施加影响，从而抑制可能出现的系统性金融风险顺周期累积或传染，最终实现宏观审慎政策目标的过程。顺畅的传导机制是提高宏观审慎政策有效性的重要保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宏观审慎政策的治理机制是指为监测识别系统性金融风险、协调和执行宏观审慎政策以及评估政策实施效果等，所进行的组织架构设计和工作程序安排。良好的治理机制可以为健全宏观审慎政策框架和实施宏观审慎政策提供制度保障。</w:t>
      </w:r>
    </w:p>
    <w:p>
      <w:pPr>
        <w:spacing w:after="156" w:afterLines="50" w:line="360" w:lineRule="auto"/>
        <w:ind w:firstLine="482" w:firstLineChars="200"/>
        <w:outlineLvl w:val="0"/>
        <w:rPr>
          <w:rFonts w:cs="宋体" w:asciiTheme="majorEastAsia" w:hAnsiTheme="majorEastAsia" w:eastAsiaTheme="majorEastAsia"/>
          <w:b/>
          <w:bCs/>
        </w:rPr>
      </w:pPr>
      <w:bookmarkStart w:id="650" w:name="_Toc5352"/>
      <w:r>
        <w:rPr>
          <w:rFonts w:hint="eastAsia" w:cs="宋体" w:asciiTheme="majorEastAsia" w:hAnsiTheme="majorEastAsia" w:eastAsiaTheme="majorEastAsia"/>
          <w:b/>
          <w:bCs/>
        </w:rPr>
        <w:t>第三章系统性金融风险的监测、识别和评估</w:t>
      </w:r>
      <w:bookmarkEnd w:id="65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系统性金融风险是指可能对正常开展金融服务产生重大影响，进而对实体经济造成巨大负面冲击的金融风险。系统性金融风险主要来源于时间和结构两个维度：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（一）从时间维度看，系统性金融风险一般由金融活动的一致行为引发并随时间累积，主要表现为金融杠杆的过度扩张或收缩，由此导致的风险顺周期的自我强化、自我放大。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（二）从结构维度看，系统性金融风险一般由特定机构或市场的不稳定引发，通过金融机构、金融市场、金融基础设施间的相互关联等途径扩散，表现为风险跨机构、跨部门、跨市场、跨境传染。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系统性金融风险的监测重点包括宏观杠杆率，政府、企业和家庭部门的债务水平和偿还能力，具有系统重要性影响和较强风险外溢性的金融机构、金融市场、金融产品和金融基础设施等。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宏观审慎管理牵头部门建立健全系统性金融风险监测和评估机制，会同相关部门开展监测和评估，定期或不定期公开发布评估结果。针对特定领域系统性金融风险，宏观审慎管理牵头部门组织开展专项评估。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宏观审慎管理牵头部门根据系统性金融风险的特征，建立健全系统性金融风险监测和评估框架。完善系统性金融风险监测评估指标体系并设定阈值，适时动态调整以反映风险的发展变化。丰富风险监测方法和技术，采取热力图、系统性金融风险指数、金融压力指数、金融条件指数、宏观审慎压力测试、专项调查等多种方法和工具进行监测和评估，积极探索运用大数据技术。</w:t>
      </w:r>
    </w:p>
    <w:p>
      <w:pPr>
        <w:spacing w:after="156" w:afterLines="50" w:line="360" w:lineRule="auto"/>
        <w:ind w:firstLine="482" w:firstLineChars="200"/>
        <w:outlineLvl w:val="0"/>
        <w:rPr>
          <w:rFonts w:cs="宋体" w:asciiTheme="majorEastAsia" w:hAnsiTheme="majorEastAsia" w:eastAsiaTheme="majorEastAsia"/>
          <w:b/>
          <w:bCs/>
        </w:rPr>
      </w:pPr>
      <w:bookmarkStart w:id="651" w:name="_Toc13736"/>
      <w:r>
        <w:rPr>
          <w:rFonts w:hint="eastAsia" w:cs="宋体" w:asciiTheme="majorEastAsia" w:hAnsiTheme="majorEastAsia" w:eastAsiaTheme="majorEastAsia"/>
          <w:b/>
          <w:bCs/>
        </w:rPr>
        <w:t>第四章宏观审慎政策工具</w:t>
      </w:r>
      <w:bookmarkEnd w:id="651"/>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宏观审慎政策工具主要用于防范金融体系的整体风险，具有“宏观、逆周期、防传染”的基本属性，这是其有别于主要针对个体机构稳健、合规运行的微观审慎监管的重要特征。宏观审慎政策会运用一些与微观审慎监管类似的工具，例如对资本、流动性、杠杆等提出要求，但两类工具的视角、针对的问题和采取的调控方式不同，可以相互补充，而不是替代。宏观审慎政策工具用于防范系统性金融风险，主要是在既有微观审慎监管要求之上提出附加要求，以提高金融体系应对顺周期波动和防范风险传染的能力。宏观审慎管理往往具有“时变”特征，即根据系统性金融风险状况动态调整，以起到逆周期调节的作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针对不同类型的系统性金融风险，宏观审慎政策工具可按照时间维度和结构维度两种属性划分，也有部分工具兼具两种属性。时间维度的工具用于逆周期调节，平滑金融体系的顺周期波动；结构维度的工具，通过提高对金融体系关键节点的监管要求，防范系统性金融风险跨机构、跨市场、跨部门和跨境传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（一）时间维度的工具主要包括：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1.资本管理工具，主要通过调整对金融机构资本水平施加的额外监管要求、特定部门资产风险权重等，抑制由资产过度扩张或收缩、资产结构过于集中等导致的顺周期金融风险累积。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流动性管理工具，主要通过调整对金融机构和金融产品的流动性水平、资产可变现性和负债来源等施加的额外监管要求，约束过度依赖批发性融资以及货币、期限严重错配等，增强金融体系应对流动性冲击的韧性和稳健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资产负债管理工具，主要通过对金融机构的资产负债构成和增速进行调节，对市场主体的债务水平和结构施加影响，防范金融体系资产过度扩张或收缩、风险敞口集中暴露，以及市场主体债务偏离合理水平等引发的系统性金融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4.金融市场交易行为工具，主要通过调整对金融机构和金融产品交易活动中的保证金比率、融资杠杆水平等施加的额外监管要求，防范金融市场价格大幅波动等可能引发的系统性金融风险。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5.跨境资本流动管理工具，主要通过对影响跨境资本流动顺周期波动的因素施加约束，防范跨境资本“大进大出”可能引发的系统性金融风险。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（二）结构维度的工具主要包括：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特定机构附加监管规定，通过对系统重要性金融机构提出附加资本和杠杆率、流动性等要求，对金融控股公司提出并表、资本、集中度、关联交易等要求，增强相关机构的稳健性，减轻其发生风险后引发的传染效应。</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2.金融基础设施管理工具，主要通过强化有关运营及监管要求，增强金融基础设施稳健性。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3.跨市场金融产品管理工具，主要通过加强对跨市场金融产品的监督和管理，防范系统性金融风险跨机构、跨市场、跨部门和跨境传染。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风险处置等阻断风险传染的管理工具，例如恢复与处置计划，主要通过强化金融机构及金融基础设施风险处置安排，要求相关机构预先制定方案，当发生重大风险时根据预案恢复持续经营能力或实现有序处置，保障关键业务和服务不中断，避免引发系统性金融风险或降低风险发生后的影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按照对政策实施对象约束力大小，宏观审慎政策工具可分为强约束力工具和引导类工具。强约束力工具是指政策实施对象根据法律法规要求必须执行的工具；引导类工具是指宏观审慎管理牵头部门通过研究报告、信息发布、评级公告、风险提示等方式，提出对系统性金融风险状况的看法和风险防范的建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根据系统性金融风险的来源和表现，由宏观审慎管理牵头部门会同相关部门开发新的宏观审慎政策工具。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压力测试可以为开展宏观审慎管理提供重要参考和支撑。宏观审慎管理牵头部门通过测试极端情况下金融体系对冲击的承受能力，识别和评估系统性金融风险，启用和校准宏观审慎政策工具等。宏观审慎压力测试包括宏观层面压力测试，还包括系统重要性金融机构压力测试、金融控股公司压力测试、金融行业压力测试等针对特定机构和行业的压力测试。</w:t>
      </w:r>
    </w:p>
    <w:p>
      <w:pPr>
        <w:spacing w:after="156" w:afterLines="50" w:line="360" w:lineRule="auto"/>
        <w:ind w:firstLine="482" w:firstLineChars="200"/>
        <w:outlineLvl w:val="0"/>
        <w:rPr>
          <w:rFonts w:cs="宋体" w:asciiTheme="majorEastAsia" w:hAnsiTheme="majorEastAsia" w:eastAsiaTheme="majorEastAsia"/>
          <w:b/>
          <w:bCs/>
        </w:rPr>
      </w:pPr>
      <w:bookmarkStart w:id="652" w:name="_Toc12996"/>
      <w:r>
        <w:rPr>
          <w:rFonts w:hint="eastAsia" w:cs="宋体" w:asciiTheme="majorEastAsia" w:hAnsiTheme="majorEastAsia" w:eastAsiaTheme="majorEastAsia"/>
          <w:b/>
          <w:bCs/>
        </w:rPr>
        <w:t>第五章宏观审慎政策工具的使用</w:t>
      </w:r>
      <w:bookmarkEnd w:id="65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使用宏观审慎政策工具一般包括启用、校准和调整三个环节，相关流程由宏观审慎管理牵头部门会同相关部门制定。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当潜在的系统性金融风险已触及启用宏观审慎政策工具阈值时，宏观审慎管理牵头部门会同相关部门结合监管判断，适时启用应对系统性金融风险的宏观审慎政策工具。在风险未触及启用宏观审慎政策工具阈值时，宏观审慎管理牵头部门会同相关部门通过综合分析评估，认为可能出现系统性金融风险时，也可基于监管判断启用宏观审慎政策工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宏观审慎政策工具启用后，宏观审慎管理牵头部门会同相关部门开展动态评估，综合判断宏观审慎政策工具是否达到预期、是否存在监管套利和未预期后果等。根据评估结果对宏观审慎政策工具进行校准，包括工具适用范围、指标设计和政策要求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宏观审慎管理牵头部门会同相关部门，动态评估系统性金融风险态势，根据评估结果并结合监管判断，适时调整宏观审慎政策工具的具体值。</w:t>
      </w:r>
    </w:p>
    <w:p>
      <w:pPr>
        <w:spacing w:after="156" w:afterLines="50" w:line="360" w:lineRule="auto"/>
        <w:ind w:firstLine="482" w:firstLineChars="200"/>
        <w:outlineLvl w:val="0"/>
        <w:rPr>
          <w:rFonts w:cs="宋体" w:asciiTheme="majorEastAsia" w:hAnsiTheme="majorEastAsia" w:eastAsiaTheme="majorEastAsia"/>
          <w:b/>
          <w:bCs/>
        </w:rPr>
      </w:pPr>
      <w:bookmarkStart w:id="653" w:name="_Toc74"/>
      <w:r>
        <w:rPr>
          <w:rFonts w:hint="eastAsia" w:cs="宋体" w:asciiTheme="majorEastAsia" w:hAnsiTheme="majorEastAsia" w:eastAsiaTheme="majorEastAsia"/>
          <w:b/>
          <w:bCs/>
        </w:rPr>
        <w:t>第六章宏观审慎政策治理机制</w:t>
      </w:r>
      <w:bookmarkEnd w:id="65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 宏观审慎管理牵头部门会同相关部门推动形成适合我国国情的宏观审慎政策治理机制，并根据具体实践不断完善。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 宏观审慎管理牵头部门可推动建立矩阵式管理的宏观审慎政策架构，针对特定系统性金融风险，通过组建由宏观审慎管理牵头部门和相关部门组成的跨部门专项工作组等方式，跟踪监测、评估系统性金融风险，并对宏观审慎政策工具的使用提出建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 根据系统性金融风险涉及的领域，宏观审慎管理牵头部门会同相关部门讨论和制定宏观审慎政策工具的启用、校准和调整。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 宏观审慎管理牵头部门会同相关部门根据职责分工，组织实施所辖领域的宏观审慎管理工作，并对宏观审慎政策执行情况进行监督和管理。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 宏观审慎管理牵头部门会同相关部门，及时跟踪评估宏观审慎政策工具实施效果，将评估结果以适当形式向社会披露。</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 在金融委指导下，建立健全宏观审慎政策监督机制，加强对宏观审慎管理牵头部门及相关部门履行宏观审慎管理职责情况的监督，确保宏观审慎管理牵头部门及相关部门有效履职。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 宏观审慎管理牵头部门建立健全宏观审慎政策沟通机制，做好预期引导，定期或不定期以公告、报告、新闻发布会等方式与市场进行沟通。沟通内容包括宏观审慎政策框架、政策立场、系统性金融风险评估、宏观审慎政策工具使用，以及未来可能采取的政策行动等，增强宏观审慎政策的透明度及可预期性。</w:t>
      </w:r>
    </w:p>
    <w:p>
      <w:pPr>
        <w:spacing w:after="156" w:afterLines="50" w:line="360" w:lineRule="auto"/>
        <w:ind w:firstLine="482" w:firstLineChars="200"/>
        <w:outlineLvl w:val="0"/>
        <w:rPr>
          <w:rFonts w:cs="宋体" w:asciiTheme="majorEastAsia" w:hAnsiTheme="majorEastAsia" w:eastAsiaTheme="majorEastAsia"/>
          <w:b/>
          <w:bCs/>
        </w:rPr>
      </w:pPr>
      <w:bookmarkStart w:id="654" w:name="_Toc24659"/>
      <w:r>
        <w:rPr>
          <w:rFonts w:hint="eastAsia" w:cs="宋体" w:asciiTheme="majorEastAsia" w:hAnsiTheme="majorEastAsia" w:eastAsiaTheme="majorEastAsia"/>
          <w:b/>
          <w:bCs/>
        </w:rPr>
        <w:t>第七章支持与保障</w:t>
      </w:r>
      <w:bookmarkEnd w:id="65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第三十条 在金融业综合统计工作机制下，宏观审慎管理牵头部门推动开展宏观审慎政策相关统计数据的采集与共享。相关统计数据的采集、使用与对外披露须严格遵守有关保密规定。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第三十一条 宏观审慎管理牵头部门根据防范系统性金融风险的需要，建立、维护和管理宏观审慎相关信息采集和监管系统，实现数据共享。</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第三十二条 宏观审慎管理牵头部门会同相关部门制定和完善宏观审慎管理相关制度规定。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第三十三条 宏观审慎管理牵头部门会同相关部门建立突发性系统性金融风险应急机制，及时有效防控突发性系统性金融风险，降低次生风险。</w:t>
      </w:r>
    </w:p>
    <w:p>
      <w:pPr>
        <w:spacing w:after="156" w:afterLines="50" w:line="360" w:lineRule="auto"/>
        <w:ind w:firstLine="482" w:firstLineChars="200"/>
        <w:outlineLvl w:val="0"/>
        <w:rPr>
          <w:rFonts w:cs="宋体" w:asciiTheme="majorEastAsia" w:hAnsiTheme="majorEastAsia" w:eastAsiaTheme="majorEastAsia"/>
          <w:b/>
          <w:bCs/>
        </w:rPr>
      </w:pPr>
      <w:bookmarkStart w:id="655" w:name="_Toc24789"/>
      <w:r>
        <w:rPr>
          <w:rFonts w:hint="eastAsia" w:cs="宋体" w:asciiTheme="majorEastAsia" w:hAnsiTheme="majorEastAsia" w:eastAsiaTheme="majorEastAsia"/>
          <w:b/>
          <w:bCs/>
        </w:rPr>
        <w:t>第八章政策协调</w:t>
      </w:r>
      <w:bookmarkEnd w:id="65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第三十四条 宏观审慎管理牵头部门组织会同相关部门建立宏观审慎工作协调机制。宏观审慎政策执行中如遇重大问题，提交金融委研究决定。跨部门协调议定的事项可通过会议纪要、备忘录等形式予以明确，涉及宏观审慎政策框架的，可在本指引的后续修订中体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第三十五条 健全货币政策和宏观审慎政策双支柱调控框架，强化宏观审慎政策与货币政策的协调配合，促进实现价格稳定与金融稳定“双目标”。宏观审慎政策可通过约束金融机构加杠杆以及货币、期限错配等行为，抑制金融体系的顺周期波动，通过限制金融机构间关联程度和金融业务的复杂程度，抑制风险传染，促进金融机构、金融基础设施稳健运行，从而有利于货币政策的实施和传导，增强货币政策执行效果。货币政策环境及其变化也对金融稳定构成重要影响，是制定宏观审慎政策需要考虑的重要因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加强宏观审慎政策和货币政策协调配合，包括加强经济形势分析、金融风险监测方面的信息沟通与交流；在宏观审慎政策制定过程中考虑货币政策取向，充分征求货币政策制定部门的意见，评估政策出台可能的溢出效应和叠加效应，把握政策出台的次序和节奏；在政策执行过程中，会同货币政策制定部门定期评估政策执行效果，适时校准和调整宏观审慎政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第三十六条 强化宏观审慎政策与微观审慎监管的协调配合，充分发挥宏观审慎政策关注金融体系整体、微观审慎监管强化个体机构稳健性的优势，形成政策合力，共同维护金融稳定。宏观审慎政策从宏观视角出发，可对金融机构的一致性预期及其行为开展逆周期调节，提高对金融体系关键节点以及可能引发风险跨市场传染的金融产品、金融活动的管理要求，从而与微观审慎监管形成互补。微观监管部门较为全面的监管数据有助于提高系统性金融风险评估的准确性，有效的微观审慎监管措施有助于提高宏观审慎政策执行效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加强宏观审慎政策和微观审慎监管协调配合，包括加强金融风险监测方面的信息沟通与交流；在宏观审慎政策制定过程中综合考虑微观审慎监管环境，充分征求微观监管部门意见，评估政策出台可能的溢出效应和叠加效应，涉及微观监管部门所辖领域时，会同微观监管部门共同制定宏观审慎管理要求；在政策执行过程中，会同微观监管部门定期评估政策执行效果，适时校准和调整宏观审慎政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第三十七条 加强宏观审慎政策与国家发展规划、财政政策、产业政策、信贷政策等的协调配合，提高金融服务实体经济能力。宏观审慎政策通过影响金融机构行为可能会对实体经济产生溢出效应，制定和执行宏观审慎政策时，需要做好与其他宏观调控政策制定部门的信息沟通，促进形成政策合力。</w:t>
      </w:r>
    </w:p>
    <w:p>
      <w:pPr>
        <w:spacing w:after="156" w:afterLines="50" w:line="360" w:lineRule="auto"/>
        <w:ind w:firstLine="482" w:firstLineChars="200"/>
        <w:outlineLvl w:val="0"/>
        <w:rPr>
          <w:rFonts w:cs="宋体" w:asciiTheme="majorEastAsia" w:hAnsiTheme="majorEastAsia" w:eastAsiaTheme="majorEastAsia"/>
          <w:b/>
          <w:bCs/>
        </w:rPr>
      </w:pPr>
      <w:bookmarkStart w:id="656" w:name="_Toc20010"/>
      <w:r>
        <w:rPr>
          <w:rFonts w:hint="eastAsia" w:cs="宋体" w:asciiTheme="majorEastAsia" w:hAnsiTheme="majorEastAsia" w:eastAsiaTheme="majorEastAsia"/>
          <w:b/>
          <w:bCs/>
        </w:rPr>
        <w:t>第九章附则</w:t>
      </w:r>
      <w:bookmarkEnd w:id="656"/>
    </w:p>
    <w:p>
      <w:pPr>
        <w:spacing w:after="156" w:afterLines="50" w:line="360" w:lineRule="auto"/>
        <w:ind w:firstLine="480" w:firstLineChars="200"/>
        <w:rPr>
          <w:rFonts w:cs="宋体" w:asciiTheme="majorEastAsia" w:hAnsiTheme="majorEastAsia" w:eastAsiaTheme="majorEastAsia"/>
        </w:rPr>
        <w:sectPr>
          <w:endnotePr>
            <w:numFmt w:val="decimal"/>
          </w:endnotePr>
          <w:pgSz w:w="11906" w:h="16838"/>
          <w:pgMar w:top="1440" w:right="1800" w:bottom="1440" w:left="1800" w:header="851" w:footer="992" w:gutter="0"/>
          <w:cols w:space="720" w:num="1"/>
          <w:docGrid w:type="lines" w:linePitch="312" w:charSpace="0"/>
        </w:sectPr>
      </w:pPr>
      <w:r>
        <w:rPr>
          <w:rFonts w:hint="eastAsia" w:cs="宋体" w:asciiTheme="majorEastAsia" w:hAnsiTheme="majorEastAsia" w:eastAsiaTheme="majorEastAsia"/>
        </w:rPr>
        <w:t>第三十八条 本指引由中国人民银行负责解释,后续将根据宏观审慎政策的具体实践，适时予以修订。</w:t>
      </w:r>
    </w:p>
    <w:p>
      <w:pPr>
        <w:pStyle w:val="2"/>
        <w:numPr>
          <w:ilvl w:val="0"/>
          <w:numId w:val="0"/>
        </w:numPr>
        <w:ind w:left="922" w:leftChars="0" w:hanging="440" w:firstLineChars="0"/>
      </w:pPr>
      <w:bookmarkStart w:id="657" w:name="_Toc1932"/>
      <w:r>
        <w:rPr>
          <w:rFonts w:cs="宋体" w:asciiTheme="majorEastAsia" w:hAnsiTheme="majorEastAsia" w:eastAsiaTheme="majorEastAsia"/>
          <w:b/>
          <w:bCs/>
          <w:sz w:val="24"/>
          <w:szCs w:val="24"/>
          <w:lang w:val="en-US" w:eastAsia="zh-CN" w:bidi="ar-SA"/>
        </w:rPr>
        <w:t>123.</w:t>
      </w:r>
      <w:r>
        <w:rPr>
          <w:rFonts w:hint="eastAsia"/>
        </w:rPr>
        <w:t>《中国银保监会办公厅关于2022年进一步强化金融支持小微企业发展工作的通知》</w:t>
      </w:r>
      <w:bookmarkEnd w:id="65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发文机构：中国银行保险监督管理委员会办公厅（已撤销）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银保监办发〔2022〕37号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各银保监局，各政策性银行、大型银行、股份制银行、外资银行，各保险集团（控股）公司、保险公司：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全面贯彻党的十九大和十九届历次全会精神以及中央经济工作会议精神，深入落实“十四五”期间金融支持小微企业发展的有关决策部署，经银保监会同意，现就2022年进一步强化金融支持小微企业减负纾困、恢复发展有关工作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、坚持稳中求进，持续改进小微企业金融供给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总体要求。完整、准确、全面贯彻新发展理念，围绕“六稳”“六保”战略任务，加强和深化小微企业金融服务，支持小微企业纾困恢复和高质量发展，稳定宏观经济大盘。巩固和完善差异化定位、有序竞争的金融供给格局。进一步提升金融服务的质量和效率，扩展服务覆盖面。稳步增加银行业对小微企业的信贷供给，优化信贷结构，促进综合融资成本合理下降。丰富普惠保险产品和业务，更好地为小微企业提供融资增信和保障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工作目标。银行业金融机构总体继续实现单户授信1000万元以下（含）的普惠型小微企业贷款“两增”目标，即此类贷款增速不低于各项贷款增速、有贷款余额的户数不低于年初水平。加大信用贷款投放力度，力争普惠型小微企业贷款余额中信用贷款占比持续提高。努力提升小微企业贷款户中首贷户的比重，大型银行、股份制银行实现全年新增小型微型企业法人首贷户数量高于上年。在确保信贷投放增量扩面的前提下，力争总体实现2022年银行业新发放普惠型小微企业贷款利率较2021年有所下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、深化供给侧结构性改革，提高信贷资源配置效能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完善多层次的小微企业信贷供给体系。大型银行、股份制银行要进一步健全普惠金融事业部的专门机制，保持久久为功服务小微企业的战略定力，发挥网点、技术、人才、信息系统等优势，下沉服务重心，更好地服务小微企业，拓展首贷户。地方法人银行要坚守定位，将服务小微企业作为自身改制化险、转型发展的重要战略方向，用好年初出台的普惠小微贷款增量奖励、支小再贷款等货币政策工具，切实加大信贷投放力度，着力提高普惠型小微企业信用贷款占比。开发银行、政策性银行要继续深化完善与商业银行合作的小微企业转贷款业务模式，并根据自身战略定位和业务特点，稳妥探索开展对小微企业的直贷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进一步增强小微企业贷款可获得性。银行业金融机构要加大信贷产品创新力度，加强对小微企业信用信息的挖掘运用，着重提高信用贷款发放效率。针对小微企业轻资产特点，积极推广存货、应收账款、知识产权等动产和权利质押融资业务，降低对不动产等传统抵押物的过度依赖。深入推进银担合作、银保合作。支持银行业金融机构与国家融资担保基金及其合作担保机构有序开展总对总的“见贷即保”批量担保业务，为小微企业、个体工商户提供信贷支持，合理分担贷款风险。鼓励政府性融资担保机构在同等条件下优先为小微企业和个体工商户首贷户贷款提供担保。鼓励保险机构稳步开展小微企业融资性信保业务，对优质小微企业给予费率优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做好延期还本付息政策接续和贷款期限管理。银行业金融机构要做好延期还本付息政策到期的接续转换。进一步推广“随借随还”模式，加大续贷政策落实力度，主动跟进小微企业融资需求，对符合续贷条件的正常类小微企业贷款积极给予支持。对确有还款意愿和吸纳就业能力、存在临时性经营困难的小微企业，统筹考虑展期、重组等手段，按照市场化原则自主协商贷款还本付息方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巩固向小微企业让利成果。银行业金融机构的小微企业贷款利率定价机制应动态反映贷款市场报价利率（LPR）走势，并将货币、税收减免、财政奖补等政策红利向终端利率价格有效传导。银行业金融机构与开发性、政策性银行合作以转贷款资金发放的小微企业贷款，终端平均利率不得高于当地同类机构同类贷款平均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、强化对重点领域和薄弱环节小微企业的金融支持，助力畅通国民经济循环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持续做好对小微制造业企业的金融服务。银行业金融机构要重点加大对先进制造业、战略性新兴产业小微企业的中长期信贷投放，积极支持传统产业小微企业在设备更新、技术改造、绿色转型发展等方面的中长期资金需求，助力工业经济平稳增长。银行保险机构要主动建立健全与创新型中小企业、“专精特新”中小企业、“小巨人”企业及主管部门的信息对接机制，精准获客，开发专属金融产品。银行保险机构要规范发展供应链金融，在加强风险防控的基础上，依托核心企业，整合金融产品、客户、渠道等资源，综合运用交易数据、资金流和物流信息，为上下游小微企业提供一揽子金融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强化对小微企业科技创新的金融支撑。深入实施创新驱动发展战略，支持科技高水平自立自强。银行业金融机构要积极完善科技信贷服务模式，发挥与子公司的协同作用，为小微科创企业提供持续资金支持，在风险可控前提下与外部投资机构探索“贷款+外部直投”等业务新模式，在企业生命周期中前移金融服务。强化科技保险服务，进一步推进首台（套）重大技术装备保险试点和新材料首批次应用保险试点，丰富知识产权保险业务品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多维度加强对小微外贸企业的金融服务。银行业金融机构要优化结售汇服务和相关授信管理，加强外贸金融知识和业务宣传，为小微外贸企业提供适合其需求的外汇避险产品。进出口银行要落实国务院有关部署，积极开展小微外贸企业贷款业务，增强服务小微外贸企业能力。巩固提升出口信用保险作用，在风险可控前提下，进一步优化出口信保承保和理赔条件，扩大对中小微外贸企业承保覆盖面和规模。鼓励银行保险机构合作，为小微企业提供信用保险项下的贸易融资服务，发挥保单的风险缓释作用，持续培育发展短期出口信用保险项下的保单融资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扩大对新市民、个体工商户等微观主体的金融覆盖。银行保险机构要围绕保就业、保民生任务，聚焦通过就业就学等方式转入新城镇、融入当地的新市民群体，针对其创业就业、购房安居、教育培训、医疗和养老保障等方面的金融需求强化产品和服务创新，加大保险保障力度，优化账户开立、工资发放、社保和住房公积金缴纳及使用等环节流程，提升金融服务的均等性和便利度。银行业金融机构要切实加大对个体工商户的信贷投放，根据个体工商户生产经营特点改进信用评价和授信管理，确保2022年个体工商户贷款余额、户数持续增长。对依照《电子商务法》《无证无照经营查处办法》等法律法规规定无须申领营业执照的个体经营者，应比照个体工商户，在同等条件下给予金融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着力改善金融资源投放的区域均衡性。银行保险机构要发挥金融对地方经济社会发展的撬动作用，积极参与做强地方特色行业产业，发掘市场潜力，助力小微企业成长壮大，创造培育有效融资需求，实现供需良性互动。大型银行、股份制银行制定普惠型小微企业信贷计划，要向欠发达地区的一级分行压实信贷投放任务，并明确要求各一级分行在向下分解信贷计划时，优先满足辖内相对欠发达地区信贷需求。在内部资金转移定价（FTP）、利润损失补偿、综合绩效考核、营销费用等方面，可适当向相对欠发达地区倾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健全完善金融支持抗疫救灾长效机制。银行保险机构要提高对新冠肺炎疫情等公共卫生事件及重大自然灾害的应急响应能力，支持遇疫受灾地区和行业的小微企业生产自救、纾困发展。要建立灵活调配投放金融资源、协调服务的快速反应机制，在信贷融资、保险理赔、在线服务、技术保障等方面开辟绿色通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、做实服务小微企业的专业机制，提升综合金融服务能力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三）对标监管要求做实做细“敢贷愿贷”内部机制。银行业金融机构要认真对照商业银行小微企业金融服务监管评价指标和上年度评价结果，进一步深化完善普惠金融专业机制，不折不扣地落实机构建设、绩效考核、内部转移定价、不良容忍度、授信尽职免责等要求，逐项查缺补漏，完善内部细则，明确执行流程，向分支机构特别是基层网点和员工及时、准确地传达政策导向。对符合条件的分支机构合理扩大授信审批权限，适当简化分支机构评审评议流程，提高贷款审批效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四）多措并举满足小微企业非信贷金融需求。银行业金融机构要加快推进小微企业简易开户服务，根据企业需求，针对互联网新业态、疫情防控要求等具体情况，改进开户流程，设置与客户身份核实程度、账户风险等级相匹配的账户功能，相应地适当简化辅助证明文件材料要求，改善用户体验。要立足小微企业的真实贸易背景和实际资金周转需求开展票据融资业务，严禁为无真实贸易背景的票据办理贴现。积极配合落实《保障中小企业款项支付条例》，加强业务甄别与自律。鼓励银行保险机构在工程建设、招投标等领域为符合条件的小微企业提供保函和保证保险产品，减轻企业保证金占款压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五）严格落实信贷融资收费和服务价格管理规定。严禁银行保险机构违规向小微企业收取服务费用或变相转嫁服务成本。银行保险机构与第三方机构合作开展小微企业金融服务的，要了解第三方机构向小微企业收费情况，评估企业综合融资成本。银行保险机构应当要求第三方机构将其所提供服务的资费标准向小微企业充分告知，并明确约定禁止第三方机构以银行名义向小微企业收取任何费用。要持续评估合作模式，及时终止与服务收费质价不符机构的合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六）切实加强风险管理和数据治理。银行业金融机构要做实贷款“三查”，强化内控合规管理，严禁虚构小微企业贷款用途套利，防止信贷资金变相流入资本市场和政府融资平台等宏观政策调控领域。鼓励通过依法合规的核销、转让等方式，加大小微企业不良贷款处置力度。银行保险机构要健全内部数据治理体系，加强信息系统建设，在此基础上严格落实监管统计制度要求，明确责任，着重加强对小微企业贷款余额、户数、利率、风险分类等关键指标数据的质量把关，确保统计数据真实反映小微企业金融服务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、推动加强信用信息共享应用，促进小微企业融资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七）积极参与推进信用信息共享机制和融资服务平台建设。各级监管部门、各银行保险机构要落实《国务院办公厅关于印发加强信用信息共享应用促进中小微企业融资实施方案的通知》（国办发﹝2021﹞52号）要求，主动加强与中央有关部门和地方政府的沟通对接，从融资供给端出发，推动健全信息共享网络，有序扩大涉企信用信息共享范围，丰富数据归集和交换方式，提升信用信息数据的可用性，完善融资信用服务平台功能。立足于小微企业生产经营和融资渠道高度本地化的特点，进一步总结推广省市级融资信用服务平台建设的良好经验，重点提高区域性信息集成共享和应用效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八）依托信用信息共享机制加快大数据金融产品开发应用。银行保险机构要把握好信用信息共享加快深化的有利时机，强化自身数据能力建设，综合运用大数据等金融科技手段，充分利用内外部信息资源，拓宽融资服务场景，创新优化融资模式，完善授信评审机制、信用评价模型、业务流程和产品。扎实推进数字化转型，建设数字化运营服务体系和金融服务生态，提升数据管理能力，确保业务经营、产品研发、风险管理、内部控制的关键环节自主把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九）加强信用信息安全和保密管理。银行保险机构要完善涉企信用信息的安全管理体系，落实保密管理责任，加强数据安全和隐私保护。通过各级融资信用服务平台获取的涉企信用信息不得用于为企业提供融资支持以外的活动。与第三方机构合作开展涉企信用信息应用的，应当建立安全评估的前置程序。交由第三方处理的涉企数据，应按照有关监管规定，依据“最小、必要”原则进行脱敏处理。通过第三方机构获取外部涉企数据的，要关注数据源合规风险，明确数据权属关系，加强数据安全技术保护。</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 、监管靠前担当作为，凝聚合力强化支持保障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十）上下联动，分层分类加强督导引领。继续实施以法人银行业金融机构为主要对象、银保监会和银保监局上下联动的监管督导考核方式。认真组织开展商业银行小微企业金融服务监管评价，进一步发挥评价的“诊断仪”和“指挥棒”作用，聚焦长效机制建设。加强监管评价与现场检查、统计监测、窗口指导等监管手段的有效结合，将评价结果运用贯穿到监管全过程。加强督导检查和专项整治，重点关注银行保险机构小微企业金融服务政策落实、规范经营收费、统计数据质量等情况，严肃查处侵害小微企业权益和数据造假等违法违规行为。</w:t>
      </w:r>
    </w:p>
    <w:p>
      <w:pPr>
        <w:spacing w:after="156" w:afterLines="50" w:line="360" w:lineRule="auto"/>
        <w:ind w:firstLine="480" w:firstLineChars="200"/>
        <w:rPr>
          <w:rFonts w:cs="宋体" w:asciiTheme="majorEastAsia" w:hAnsiTheme="majorEastAsia" w:eastAsiaTheme="majorEastAsia"/>
        </w:rPr>
        <w:sectPr>
          <w:endnotePr>
            <w:numFmt w:val="decimal"/>
          </w:endnotePr>
          <w:pgSz w:w="11906" w:h="16838"/>
          <w:pgMar w:top="1440" w:right="1800" w:bottom="1440" w:left="1800" w:header="851" w:footer="992" w:gutter="0"/>
          <w:cols w:space="720" w:num="1"/>
          <w:docGrid w:type="lines" w:linePitch="312" w:charSpace="0"/>
        </w:sectPr>
      </w:pPr>
      <w:r>
        <w:rPr>
          <w:rFonts w:hint="eastAsia" w:cs="宋体" w:asciiTheme="majorEastAsia" w:hAnsiTheme="majorEastAsia" w:eastAsiaTheme="majorEastAsia"/>
        </w:rPr>
        <w:t>（二十一）横向协同，综合施策增强治理效能。各级监管部门要与财政、发改、工信、税务等部门加强协同联动，打好政策“组合拳”。在普惠金融发展示范区评选、高质量发展综合绩效评价、营商环境评价等方面主动作为，突出同向发力。各银保监局要积极推动地方政府出台有利于经济发展和小微企业融资的政策措施，探索将银行保险机构服务小微企业的监管考核评价情况与政府评优奖励等挂钩的机制，强化对小微企业金融服务的支持保障。</w:t>
      </w:r>
    </w:p>
    <w:p>
      <w:pPr>
        <w:pStyle w:val="2"/>
        <w:numPr>
          <w:ilvl w:val="0"/>
          <w:numId w:val="0"/>
        </w:numPr>
        <w:ind w:left="922" w:leftChars="0" w:hanging="440" w:firstLineChars="0"/>
      </w:pPr>
      <w:bookmarkStart w:id="658" w:name="_Toc11637"/>
      <w:r>
        <w:rPr>
          <w:rFonts w:cs="宋体" w:asciiTheme="majorEastAsia" w:hAnsiTheme="majorEastAsia" w:eastAsiaTheme="majorEastAsia"/>
          <w:b/>
          <w:bCs/>
          <w:sz w:val="24"/>
          <w:szCs w:val="24"/>
          <w:lang w:val="en-US" w:eastAsia="zh-CN" w:bidi="ar-SA"/>
        </w:rPr>
        <w:t>124.</w:t>
      </w:r>
      <w:r>
        <w:rPr>
          <w:rFonts w:hint="eastAsia"/>
        </w:rPr>
        <w:t>《商业银行预期信用损失法实施管理办法》</w:t>
      </w:r>
      <w:bookmarkEnd w:id="658"/>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发文机构：中国银行保险监督管理委员会(已撤销)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文号：银保监规〔2022〕10号</w:t>
      </w:r>
      <w:r>
        <w:rPr>
          <w:rFonts w:hint="eastAsia" w:cs="宋体" w:asciiTheme="majorEastAsia" w:hAnsiTheme="majorEastAsia" w:eastAsiaTheme="majorEastAsia"/>
        </w:rPr>
        <w:tab/>
      </w:r>
    </w:p>
    <w:p>
      <w:pPr>
        <w:spacing w:after="156" w:afterLines="50" w:line="360" w:lineRule="auto"/>
        <w:ind w:firstLine="482" w:firstLineChars="200"/>
        <w:outlineLvl w:val="0"/>
        <w:rPr>
          <w:rFonts w:cs="宋体" w:asciiTheme="majorEastAsia" w:hAnsiTheme="majorEastAsia" w:eastAsiaTheme="majorEastAsia"/>
          <w:b/>
          <w:bCs/>
        </w:rPr>
      </w:pPr>
      <w:bookmarkStart w:id="659" w:name="_Toc762"/>
      <w:r>
        <w:rPr>
          <w:rFonts w:hint="eastAsia" w:cs="宋体" w:asciiTheme="majorEastAsia" w:hAnsiTheme="majorEastAsia" w:eastAsiaTheme="majorEastAsia"/>
          <w:b/>
          <w:bCs/>
        </w:rPr>
        <w:t>第一章总则</w:t>
      </w:r>
      <w:bookmarkEnd w:id="659"/>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推动商业银行提升预期信用损失法实施质量，有效识别信用风险，及时充足计提信用风险损失准备，根据《中华人民共和国银行业监督管理法》《中华人民共和国商业银行法》《企业会计准则》等有关法律法规，制定本办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本办法适用于在中华人民共和国境内依法设立的商业银行，包括中资商业银行、外商独资银行和中外合资银行。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本办法所称预期信用损失法是指商业银行依据《企业会计准则》要求，对所承担的预期信用损失进行评估，并依此计提信用风险损失准备的方法。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预期信用损失法适用于商业银行以摊余成本计量或以公允价值计量且其变动计入其他综合收益的贷款、债券、同业业务、应收款项、租赁应收款、其他债权类投资等表内承担信用风险的金融资产，以及财务担保合同、贷款承诺等表外承担信用风险的项目，以下统称信用风险敞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商业银行应运用预期信用损失法，对以公允价值计量且承担信用风险的其他金融资产进行预期信用损失评估，以判断其公允价值计量的合理性。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商业银行预期信用损失法实施应当遵循以下原则：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（一）全面性。预期信用损失法实施应全面覆盖表内外各项信用风险敞口，相关内部控制和决策审批流程覆盖预期信用损失法实施全过程。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（二）真实性。预期信用损失法实施及其评估结果应真实反映商业银行信用风险水平和预期信用风险变化。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（三）谨慎性。预期信用损失法实施及其评估结果应充分考虑信用风险管理面临的各种不确定性，审慎评估计量信用风险损失准备。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（四）动态性。商业银行应根据自身信用风险水平及外部社会经济金融等环境变化，动态评估预期信用损失法的适用性及其评估结果的合理性，及时进行优化调整。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（五）匹配性。商业银行应建立与自身资产规模、业务特点、信用风险特征、风险管理能力相匹配的预期信用损失法管理体系。</w:t>
      </w:r>
    </w:p>
    <w:p>
      <w:pPr>
        <w:spacing w:after="156" w:afterLines="50" w:line="360" w:lineRule="auto"/>
        <w:ind w:firstLine="482" w:firstLineChars="200"/>
        <w:outlineLvl w:val="0"/>
        <w:rPr>
          <w:rFonts w:cs="宋体" w:asciiTheme="majorEastAsia" w:hAnsiTheme="majorEastAsia" w:eastAsiaTheme="majorEastAsia"/>
          <w:b/>
          <w:bCs/>
        </w:rPr>
      </w:pPr>
      <w:bookmarkStart w:id="660" w:name="_Toc13409"/>
      <w:r>
        <w:rPr>
          <w:rFonts w:hint="eastAsia" w:cs="宋体" w:asciiTheme="majorEastAsia" w:hAnsiTheme="majorEastAsia" w:eastAsiaTheme="majorEastAsia"/>
          <w:b/>
          <w:bCs/>
        </w:rPr>
        <w:t>第二章预期信用损失法管理</w:t>
      </w:r>
      <w:bookmarkEnd w:id="66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商业银行应加强预期信用损失法管理，明确董事会及其专门委员会、监事会、高级管理层、牵头部门和其他相关部门的职责分工，建立完备的预期信用损失法实施相关管理制度，加强预期信用损失法实施全过程控制，夯实预期信用损失法实施基础，不断提高预期信用损失法管理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商业银行不得通过预期信用损失法实施调节利润、调节财务指标和监管指标、规避监管要求。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董事会承担预期信用损失法管理的最终责任。主要职责包括：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（一）审批预期信用损失法实施相关管理制度。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（二）审批预期信用损失法实施相关的重要政策、重要模型以及关键参数。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审批内容至少包括：信用风险敞口风险分组方法、阶段划分标准、宏观经济多情景指标及其权重的计算方法、预期信用损失评估模型及其关键参数、前瞻性模型及其关键参数、管理层叠加模型及其关键参数、模型验证机制、定期财务报告中应计提的信用风险损失准备和信息披露内容，以及上述事项的调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（三）听取预期信用损失法管理和内外部审计情况报告，监督高级管理层全面落实预期信用损失法实施相关管理制度。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董事会可授权其下设的专门委员会具体履行预期信用损失法管理职责。专门委员会应当配备相关专业人员，确保其具备履行上述职责的能力。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董事会下设的审计委员会负责对预期信用损失法实施内部审计有效性、外部审计质量、信息披露透明度等进行审查。其中针对预期信用损失法外部审计质量，重点审查以下事项：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（一）外部审计师是否在预期信用损失法审计中通过合理安排审计计划、配备合格审计人员以及加强审计质量管理等，确保审计人员在审计各个阶段均保持高度的职业怀疑态度。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（二）外部审计师是否通过了解银行的业务模式、相关管理流程等有效识别和评估预期信用损失法实施相关的重大错报风险领域。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（三）外部审计师在哪些领域以及何种程度依赖银行的内部控制，是否对拟依赖的内部控制实施了有效性测试。在内部控制无效或存在重大缺陷的情况下，审计师是否及时调整审计计划、实施更有效的审计程序。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（四）外部审计师是否充分利用相关专家的工作来检验预期信用损失法实施相关的重要模型以及关键参数。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（五）外部审计师是否制定并实施充分的审计程序，获取了充分适当的审计证据。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监事会负责监督董事会和高级管理层在预期信用损失法管理方面的履职尽责情况，相关监督情况应纳入监事会工作报告。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高级管理层负责组织实施预期信用损失法，执行董事会决议，向董事会报告预期信用损失法管理情况。主要职责包括：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（一）研究制订预期信用损失法实施相关管理制度，提交董事会审批。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（二）根据董事会的授权，审批预期信用损失法实施相关的模型及参数。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（三）贯彻落实预期信用损失法实施相关管理制度，明确预期信用损失法实施相关部门职责分工及报告路径，健全内部控制流程，配备充足的IT、人力等资源，搭建管理信息系统。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（四）组织实施预期信用损失法，对预期信用损失法实施相关模型进行验证和优化。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（五）至少每年向董事会汇报一次预期信用损失法实施相关管理制度落实情况。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商业银行应指定牵头部门负责预期信用损失法实施工作。牵头部门应独立于产生信用风险敞口的业务部门。主要职责包括：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（一）牵头起草预期信用损失法实施相关管理制度。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（二）牵头设计和实施预期信用损失法，协调相关部门推进信息系统建设，组织开展风险分组、阶段划分、模型搭建、前瞻性调整、管理层叠加、参数确定、模型验证、实施评估、信用风险损失准备计提等工作。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（三）协调相关部门加强预期信用损失法相关基础数据管理和信息收集，牵头制定获取前瞻性信息指标多情景预测值以及确定情景权重的方法。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（四）协调相关部门对预期信用损失法实施相关模型或参数的调整进行充分论证并报董事会或高级管理层审批。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（五）根据预期信用损失评估结果确定财务报告中应计提的信用风险损失准备，报送高级管理层及董事会审批。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（六）至少每半年向高级管理层报告一次预期信用损失法实施情况。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商业银行内部审计部门负责对管理层组织实施预期信用损失法情况进行监督。主要职责包括：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（一）检查预期信用损失法实施相关管理制度落实情况。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（二）评估牵头部门及其他相关部门履职情况。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（三）审计预期信用损失法相关内部控制和审批流程设计的合理性和执行的有效性。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（四）向董事会报告预期信用损失法审计发现问题、提出改进建议并监督整改。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商业银行预期信用损失法实施相关管理制度应包括但不限于部门职责分工、系统开发、基础数据管理、信息收集、风险分组、阶段划分、模型搭建、前瞻性调整、管理层叠加、参数确定、模型验证、实施评估、信用风险损失准备计提、信息披露等相关政策及内部控制流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商业银行应组建预期信用损失法实施管理团队，配备充足资源和满足履职要求的专业人员。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商业银行应开发预期信用损失法相关管理信息系统，支持预期信用损失法管理体系有效运行，提高预期信用损失评估的自动化水平。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商业银行应持续提升信用风险管理水平，充分识别影响信用主体信用风险变化的各项驱动因素，及时识别信用主体信用风险变化，对信用风险进行有效评估或分级。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商业银行应持续加强信用风险相关历史数据的积累和管理，为预期信用损失法实施提供可靠基础数据或参数。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商业银行自身积累的历史数据无法满足预期信用损失法实施要求的，应加强对外部数据的收集和管理。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商业银行应建立完备的历史数据存储机制，确保对外披露的信用风险损失准备计提结果可以复现。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商业银行应加强信用风险相关定量信息和定性信息收集，建立有效的信息维护制度，确保相关信息及时、准确、完整，确保相关信息及时、充分运用于预期信用损失法实施全过程。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预期信用损失法实施应严格执行内部控制和决策审批流程，留有详实的文档记录。相关文档记录应至少包括：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（一）预期信用损失法实施相关管理制度及其审批情况。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（二）预期信用损失法实施管理的会议纪要及重要决策文件。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预期信用损失法实施相关风险分组、阶段划分、模型搭建、前瞻性调整、管理层叠加、参数确定、模型验证、实施评估、信用风险损失准备计提、信息披露等情况，以及针对上述事项所进行的调整、依据和审批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（四）监事会监督情况报告、内部审计报告、外部审计报告。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（五）向董事会、监事会或高级管理层汇报预期信用损失法实施管理情况的报告。</w:t>
      </w:r>
    </w:p>
    <w:p>
      <w:pPr>
        <w:spacing w:after="156" w:afterLines="50" w:line="360" w:lineRule="auto"/>
        <w:ind w:firstLine="480" w:firstLineChars="200"/>
        <w:outlineLvl w:val="0"/>
        <w:rPr>
          <w:rFonts w:cs="宋体" w:asciiTheme="majorEastAsia" w:hAnsiTheme="majorEastAsia" w:eastAsiaTheme="majorEastAsia"/>
        </w:rPr>
      </w:pPr>
      <w:bookmarkStart w:id="661" w:name="_Toc13114"/>
      <w:r>
        <w:rPr>
          <w:rFonts w:hint="eastAsia" w:cs="宋体" w:asciiTheme="majorEastAsia" w:hAnsiTheme="majorEastAsia" w:eastAsiaTheme="majorEastAsia"/>
        </w:rPr>
        <w:t>第三章预期信用损失法实施</w:t>
      </w:r>
      <w:bookmarkEnd w:id="661"/>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预期信用损失法实施主要包括风险分组、阶段划分、模型搭建、前瞻性调整、管理层叠加、参数确定、模型验证、实施评估、信用风险损失准备计提、信息披露等内容。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商业银行可采用单项评估或者组合评估的方式评估信用风险敞口的预期信用损失。</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商业银行可根据产品类型、客户类型、客户所属行业及市场分布等信用风险特征，对信用风险敞口进行风险分组，并至少每年对分组的合理性进行一次重检修正。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当组合内的风险敞口信用风险特征发生变化时，应及时对分组合理性进行重检，必要时应根据相关信用风险敞口的共同风险特征重新划分组别。</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不论单项评估还是组合评估，商业银行均应确保评估结果充分反映所有可获得的历史、当前和前瞻性信息。如果单项评估中没有考虑前瞻性信息的影响，商业银行应在组合评估时考虑前瞻性信息的影响。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商业银行应通过判断信用风险自初始确认后是否显著增加或已发生信用减值，对信用风险敞口进行阶段划分。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（一）商业银行在阶段划分时，应评估与信用主体及其信用风险敞口相关可获得的信息。相关信息包括但不限于：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信用主体在商业银行的内部信用等级；信用风险敞口的风险分类、逾期状态，以及合同条款等信息；商业银行对信用主体授信策略或信用风险管理方法的变动信息；信用主体的征信、外部评级、债务和权益价格变动、信用违约互换价格、信用利差、舆情等信息；信用主体及其股东、关联企业的经营和财务信息；可能对信用主体还款能力产生潜在影响的宏观经济、行业发展、技术革新、气候变化、自然灾害、社会经济金融政策、政府支持或救助措施等相关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（二）商业银行应建立独立的、定量与定性相结合的阶段划分标准，至少每年对阶段划分标准进行一次重检修正。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商业银行应对信用风险敞口的历史数据和当前风险状况进行分析，识别出与信用风险变化最相关的各类驱动因素，据此制定阶段划分标准，判断信用风险显著增加所用的阈值应对风险变动足够敏感。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商业银行在设定违约概率阶段划分定量标准时，要明确风险敞口违约概率变动的绝对水平和相对水平。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商业银行应确保阶段划分具有前瞻性，通常情况下不得将逾期天数作为阶段划分的唯一标准，不得用内部评级或风险分类替代阶段划分。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商业银行对公业务信用风险敞口，通常情况下应能够做到在信用主体信用状况恶化但尚未逾期之前将其划分至第二阶段。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信用风险敞口逾期超过30天的，应至少划分至第二阶段，除非有充分合理的信息证明信用风险并未显著增加；逾期超过90天的信用风险敞口，应划分至第三阶段，除非有充分合理的信息证明信用主体并未违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（三）商业银行不应机械使用阶段划分标准，而应坚持实质性风险判断原则，根据对信用主体信用状况和还款能力的分析，判断信用风险是否显著增加。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商业银行对修改或重新议定合同条款的信用风险敞口，不得仅依据合同条款的修改或重新议定直接进行阶段划分的调整，而应根据对信用主体信用状况和还款能力的分析，判断是否进行阶段划分的调整。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商业银行应制定严格的阶段划分上迁标准。对公业务信用风险敞口应至少满足该敞口在一定的观察期内（不少于6个月）均按时还本付息，并预计未来能够正常还款的情况下才能从第三阶段上迁至第二阶段；第三阶段信用风险敞口不得直接上迁至第一阶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（五）商业银行应针对具有较低信用风险的信用风险敞口制定严格的认定标准，以确保相关信用风险不会被低估。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（六）商业银行短期内无法通过阶段划分调整反映的风险因素，应通过完善评估模型、调整前瞻性信息指标多情景预测值或提高悲观情景权重、进行管理层叠加等方式反映。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 商业银行应通过搭建预期信用损失评估模型来评估预期信用损失。商业银行原则上应采用违约概率／违约损失率模型法评估预期信用损失。</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违约概率／违约损失率模型法是指通过对单项或组合信用风险敞口在多情景下的违约风险暴露、违约概率、违约损失率、存续期等模型参数进行估计并加权平均计算预期信用损失的方法。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 商业银行实施违约概率／违约损失率模型法确有困难的，可采用损失率模型法评估预期信用损失。</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损失率模型法下违约概率、违约损失率两个模型参数合并为损失率一个模型参数进行估计。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商业银行搭建模型存在较大困难的，也可以利用母行、集团、发起行或其他类似管理机构所开发的模型。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 商业银行应加强宏观经济预测分析，充分评估前瞻性信息对预期信用损失的影响。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商业银行应根据业务性质确定驱动信用风险变化的前瞻性信息指标。当某前瞻性信息指标与信用风险的相关性发生显著变化时，应及时更换调整前瞻性信息指标。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商业银行应提高前瞻性信息预测情景的精细度，根据自身经营情况和宏观政治经济形势设置多种基础情景，并明确不同情景的权重；必要时应结合压力测试结果增加极端情景。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商业银行可以采取内部专家预测方式获取前瞻性信息，也可以采用外部机构数据确定前瞻性信息；前瞻性信息既包括国内信息，也包括与信用风险相关的其他国家和地区的信息。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商业银行应通过建立前瞻性模型确定前瞻性信息对预期信用损失评估模型相关参数的调整。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商业银行应至少每半年对前瞻性信息进行一次更新，遇国内外重大事件（包括但不限于政治、经济、金融、卫生、环境、气候、自然灾害等事件）发生或相关政策重大调整时应及时更新相关前瞻性信息。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 商业银行短期内难以通过阶段划分、评估模型、前瞻性调整反映相关风险因素对预期信用损失影响的，应及时通过建立管理层叠加模型对预期信用损失评估结果进行调整。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应审慎运用管理层叠加，对某一风险因素运用管理层叠加应有规范的审批流程；对于管理层叠加中需常态化反映的风险因素，应及时通过调整阶段划分、优化评估模型或进行前瞻性调整等反映其对预期信用损失的长期影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 商业银行应根据可获得的所有数据和信息，计算确定预期信用损失法实施所涉及各种模型的参数。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商业银行利用内部数据估计模型参数时，应确保样本数据有代表性，反映商业银行的信用风险特征。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商业银行使用外购模型参数时，应对其合理性、可靠性、稳定性进行评估。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商业银行应确保模型参数充分反映前瞻性信息对预期信用损失的影响。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商业银行应至少每半年更新一次模型参数，遇国内外重大事件发生或相关政策重大调整等情形时应及时更新模型参数。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 商业银行应建立有效模型验证机制，对预期信用损失法实施所涉及的各种模型的稳健性、一致性和准确性进行验证，根据验证结果对模型进行优化。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（一）商业银行预期信用损失法实施模型验证包括投产前验证、投产后验证。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投产前验证重点检验模型设计的合理性、参数设置的恰当性和模型结果的可靠性。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投产后验证是指至少每年监控评估一次模型表现，用历史数据验证模型评估结果的可靠性和准确性；当开展新业务、遇国内外重大事件以及其他情况下发现模型存在重大缺陷时，要及时对模型有效性进行验证。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验证工作应由独立于预期信用损失法实施部门（团队、岗位）的第三方独立开展，所形成的验证报告应报送董事会、监事会和高级管理层。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（二）商业银行应至少每3年聘请有能力的独立外部第三方机构对预期信用法实施模型进行一次全面验证，验证报告应报送董事会、监事会和高级管理层。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商业银行聘请的独立外部第三方机构原则上不得为同期负责该行年度财务报告审计的会计师事务所。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 商业银行应至少每年对预期信用损失法实施情况进行一次评估，根据评估结果不断完善实施流程。评估时应重点关注：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（一）预期信用损失法实施是否已经充分覆盖适用范围内承担信用风险的表内资产和表外项目。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（二）预期信用损失法是否充分考虑了所有获取的内外部信息对信用风险的预期影响，包括国内外重大事件及其他前瞻性信息的影响。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（三）预期信用损失法实施中对未来宏观经济多情景指标预测值及其权重的设定是否过于乐观或过度悲观。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（四）商业银行已计提的信用风险损失准备是否能够有效覆盖预期信用损失。</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第三十条 商业银行应至少按季度更新一次预期信用损失评估结果，根据评估结果及时、充足计提信用风险损失准备。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第三十一条 商业银行应按照《企业会计准则》要求披露预期信用损失法实施所采用的模型方法和参数信息，重点披露风险分组及阶段划分主要依据、宏观经济多情景指标预测值及其权重、管理层叠加等信息。</w:t>
      </w:r>
    </w:p>
    <w:p>
      <w:pPr>
        <w:spacing w:after="156" w:afterLines="50" w:line="360" w:lineRule="auto"/>
        <w:ind w:firstLine="482" w:firstLineChars="200"/>
        <w:outlineLvl w:val="0"/>
        <w:rPr>
          <w:rFonts w:cs="宋体" w:asciiTheme="majorEastAsia" w:hAnsiTheme="majorEastAsia" w:eastAsiaTheme="majorEastAsia"/>
          <w:b/>
          <w:bCs/>
        </w:rPr>
      </w:pPr>
      <w:bookmarkStart w:id="662" w:name="_Toc17073"/>
      <w:r>
        <w:rPr>
          <w:rFonts w:hint="eastAsia" w:cs="宋体" w:asciiTheme="majorEastAsia" w:hAnsiTheme="majorEastAsia" w:eastAsiaTheme="majorEastAsia"/>
          <w:b/>
          <w:bCs/>
        </w:rPr>
        <w:t>第四章监督管理</w:t>
      </w:r>
      <w:bookmarkEnd w:id="66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第三十二条 银保监会及其派出机构可通过非现场监管、现场检查、调查及约谈等方式对商业银行预期信用损失法实施情况进行监督。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第三十三条 商业银行法人机构应在每年4月30日前将预期信用损失法实施情况报告报送银保监会或属地派出机构。报告至少应包括以下内容：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（一）预期信用损失法实施相关管理制度执行及完善情况。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（二）预期信用损失法实施相关重要模型、关键参数的调整依据及董事会审批情况。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（三）预期信用损失评估结果、阶段划分情况。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（四）内外部模型验证情况报告。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（五）内外部审计发现预期信用损失法实施存在的问题及建议。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（六）监管要求报送的其他信息。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第三十四条 银保监会及其派出机构可组织商业银行、负责商业银行财务报告审计的会计师事务所以及负责模型验证的独立外部第三方机构开展会谈，沟通了解预期信用损失法的管理、审计及验证情况。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第三十五条 银保监会及其派出机构必要时可要求商业银行组织内部审计部门或聘用第三方专业机构，对预期信用损失法实施进行专项审计或进行模型验证。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第三十六条 银保监会及其派出机构发现商业银行预期信用损失法实施违反本办法规定的，应要求商业银行在规定时限内提交整改方案、采取整改措施。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商业银行规定时限内未采取有效整改措施或整改后仍未达到本办法要求的，应提高其资本或拨备监管要求。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第三十七条 银保监会及其派出机构发现商业银行预期信用损失法实施违反本办法规定、预期信用损失评估不足的，以及通过预期信用损失法实施调节利润、调节财务指标和监管指标、规避监管要求的，依法进行行政处罚。</w:t>
      </w:r>
    </w:p>
    <w:p>
      <w:pPr>
        <w:spacing w:after="156" w:afterLines="50" w:line="360" w:lineRule="auto"/>
        <w:ind w:firstLine="482" w:firstLineChars="200"/>
        <w:outlineLvl w:val="0"/>
        <w:rPr>
          <w:rFonts w:cs="宋体" w:asciiTheme="majorEastAsia" w:hAnsiTheme="majorEastAsia" w:eastAsiaTheme="majorEastAsia"/>
          <w:b/>
          <w:bCs/>
        </w:rPr>
      </w:pPr>
      <w:bookmarkStart w:id="663" w:name="_Toc24761"/>
      <w:r>
        <w:rPr>
          <w:rFonts w:hint="eastAsia" w:cs="宋体" w:asciiTheme="majorEastAsia" w:hAnsiTheme="majorEastAsia" w:eastAsiaTheme="majorEastAsia"/>
          <w:b/>
          <w:bCs/>
        </w:rPr>
        <w:t>第五章附则</w:t>
      </w:r>
      <w:bookmarkEnd w:id="66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第三十八条 经银保监会及其派出机构批准设立的其他金融机构（含村镇银行）参照适用本办法。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第三十九条 本办法由银保监会负责解释。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第四十条 本办法自公布之日起施行。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第四十一条 商业银行实施本办法存在较大困难的，可向银保监会或属地派出机构提出延期实施申请，但最迟不得晚于2023年1月1日起实施。</w:t>
      </w:r>
    </w:p>
    <w:p>
      <w:pPr>
        <w:spacing w:after="156" w:afterLines="50" w:line="360" w:lineRule="auto"/>
        <w:ind w:firstLine="480" w:firstLineChars="200"/>
        <w:rPr>
          <w:rFonts w:cs="宋体" w:asciiTheme="majorEastAsia" w:hAnsiTheme="majorEastAsia" w:eastAsiaTheme="majorEastAsia"/>
        </w:rPr>
        <w:sectPr>
          <w:endnotePr>
            <w:numFmt w:val="decimal"/>
          </w:endnotePr>
          <w:pgSz w:w="11906" w:h="16838"/>
          <w:pgMar w:top="1440" w:right="1800" w:bottom="1440" w:left="1800" w:header="851" w:footer="992" w:gutter="0"/>
          <w:cols w:space="720" w:num="1"/>
          <w:docGrid w:type="lines" w:linePitch="312" w:charSpace="0"/>
        </w:sectPr>
      </w:pPr>
    </w:p>
    <w:p>
      <w:pPr>
        <w:pStyle w:val="2"/>
        <w:numPr>
          <w:ilvl w:val="0"/>
          <w:numId w:val="0"/>
        </w:numPr>
        <w:ind w:left="922" w:leftChars="0" w:hanging="440" w:firstLineChars="0"/>
      </w:pPr>
      <w:bookmarkStart w:id="664" w:name="_Toc4108"/>
      <w:r>
        <w:rPr>
          <w:rFonts w:cs="宋体" w:asciiTheme="majorEastAsia" w:hAnsiTheme="majorEastAsia" w:eastAsiaTheme="majorEastAsia"/>
          <w:b/>
          <w:bCs/>
          <w:sz w:val="24"/>
          <w:szCs w:val="24"/>
          <w:lang w:val="en-US" w:eastAsia="zh-CN" w:bidi="ar-SA"/>
        </w:rPr>
        <w:t>125.</w:t>
      </w:r>
      <w:r>
        <w:rPr>
          <w:rFonts w:hint="eastAsia"/>
        </w:rPr>
        <w:t>《关于规范上市公司与企业集团财务公司业务往来的通知》</w:t>
      </w:r>
      <w:bookmarkEnd w:id="664"/>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发文机构：中国证券监督管理委员会、中国银行保险监督管理委员会(已撤销)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文号：证监发〔2022〕48号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规范上市公司与存在关联关系的企业集团财务公司(以下简称财务公司)业务往来，根据《企业集团财务公司管理办法》《上市公司信息披露管理办法》《上市公司监管指引第8号——上市公司资金往来、对外担保的监管要求》等有关规定，现就有关问题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、上市公司与财务公司发生业务往来，双方应当遵循平等自愿原则，遵守中国银行保险监督管理委员会、中国证券监督管理委员会以及证券交易所的有关规定。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、控股股东及实际控制人应当保障其控制的财务公司和上市公司的独立性。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财务公司应当加强关联交易管理，不得以任何方式协助成员单位通过关联交易套取资金，不得隐匿违规关联交易或通过关联交易隐匿资金真实去向、从事违法违规活动。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上市公司董事应当认真履行勤勉、忠实义务，审慎进行上市公司与财务公司业务往来的有关决策。上市公司高级管理人员应当确保上市公司与财务公司业务往来符合经依法依规审议的关联交易协议，关注财务公司业务和风险状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、财务公司与上市公司发生业务往来应当签订金融服务协议，并查阅上市公司公开披露的董事会或者股东大会决议等文件。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金融服务协议应规定财务公司向上市公司提供金融服务的具体内容并对外披露，包括但不限于协议期限、交易类型、各类交易预计额度、交易定价、风险评估及控制措施等。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财务公司与上市公司发生业务往来应当严格遵循金融服务协议，不得超过金融服务协议中约定的交易预计额度归集资金。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上市公司不得违反《上市公司监管指引第8号——上市公司资金往来、对外担保的监管要求》第五条第(二)款规定，通过与财务公司签署委托贷款协议的方式，将上市公司资金提供给其控股股东、实际控制人及其他关联方使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上市公司首次将资金存放于财务公司前，应取得并审阅财务公司最近一个会计年度经审计的年度财务报告以及风险指标等必要信息，出具风险评估报告，经董事会审议通过后对外披露。上市公司与财务公司发生业务往来期间，应每半年取得并审阅财务公司的财务报告以及风险指标等必要信息，出具风险持续评估报告，经董事会审议通过后与半年度报告和年度报告一并对外披露。财务公司应当配合提供相关财务报告以及风险指标等必要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 、上市公司应当制定以保障存放资金安全性为目标的风险处置预案，经董事会审议通过后对外披露。上市公司应当指派专门机构和人员对存放于财务公司的资金风险状况进行动态评估和监督。当出现风险处置预案确定的风险情形，上市公司应当及时予以披露，并按照预案积极采取措施保障上市公司利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 、财务公司应及时将自身风险状况告知上市公司，配合上市公司积极处置风险，保障上市公司资金安全。当出现以下情形时，上市公司不得继续向财务公司新增存款: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1.财务公司同业拆借、票据承兑等集团外(或有)负债类业务因财务公司原因出现逾期超过5个工作日的情况;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2.财务公司或上市公司的控股股东、实际控制人及其他关联方发生重大信用风险事件(包括但不限于公开市场债券逾期超过7个工作日、大额担保代偿等);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3.财务公司按照《企业集团财务公司管理办法》规定的资本充足率、流动性比例等监管指标持续无法满足监管要求，且主要股东无法落实资本补充和风险救助义务;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4.风险处置预案规定的其他情形。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 、为上市公司提供审计服务的会计师事务所应当每年度提交涉及财务公司关联交易的专项说明，并与年报同步披露。保荐人、独立财务顾问在持续督导期间应当每年度对涉及财务公司的关联交易事项进行专项核查，并与年报同步披露。</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 、中国银行保险监督管理委员会、中国证券监督管理委员会共同建立规范上市公司与财务公司业务往来的监管协作机制，加强监管合作和信息共享，通过对高风险财务公司进行信息通报、联合检查等方式，加大对违法违规行为的查处力度，依法追究相关主体的法律责任。</w:t>
      </w:r>
    </w:p>
    <w:p>
      <w:pPr>
        <w:spacing w:after="156" w:afterLines="50" w:line="360" w:lineRule="auto"/>
        <w:ind w:firstLine="480" w:firstLineChars="200"/>
        <w:rPr>
          <w:rFonts w:cs="宋体" w:asciiTheme="majorEastAsia" w:hAnsiTheme="majorEastAsia" w:eastAsiaTheme="majorEastAsia"/>
        </w:rPr>
        <w:sectPr>
          <w:endnotePr>
            <w:numFmt w:val="decimal"/>
          </w:endnotePr>
          <w:pgSz w:w="11906" w:h="16838"/>
          <w:pgMar w:top="1440" w:right="1800" w:bottom="1440" w:left="1800" w:header="851" w:footer="992" w:gutter="0"/>
          <w:cols w:space="720" w:num="1"/>
          <w:docGrid w:type="lines" w:linePitch="312" w:charSpace="0"/>
        </w:sectPr>
      </w:pPr>
    </w:p>
    <w:p>
      <w:pPr>
        <w:pStyle w:val="2"/>
        <w:numPr>
          <w:ilvl w:val="0"/>
          <w:numId w:val="0"/>
        </w:numPr>
        <w:ind w:left="922" w:leftChars="0" w:hanging="440" w:firstLineChars="0"/>
      </w:pPr>
      <w:bookmarkStart w:id="665" w:name="_Toc22975"/>
      <w:r>
        <w:rPr>
          <w:rFonts w:cs="宋体" w:asciiTheme="majorEastAsia" w:hAnsiTheme="majorEastAsia" w:eastAsiaTheme="majorEastAsia"/>
          <w:b/>
          <w:bCs/>
          <w:sz w:val="24"/>
          <w:szCs w:val="24"/>
          <w:lang w:val="en-US" w:eastAsia="zh-CN" w:bidi="ar-SA"/>
        </w:rPr>
        <w:t>126.</w:t>
      </w:r>
      <w:r>
        <w:rPr>
          <w:rFonts w:hint="eastAsia"/>
        </w:rPr>
        <w:t>《银行业保险业绿色金融指引》</w:t>
      </w:r>
      <w:bookmarkEnd w:id="665"/>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发文机构：中国银行保险监督管理委员会(已撤销)</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文号：银保监发〔2022〕15号</w:t>
      </w:r>
      <w:r>
        <w:rPr>
          <w:rFonts w:hint="eastAsia" w:cs="宋体" w:asciiTheme="majorEastAsia" w:hAnsiTheme="majorEastAsia" w:eastAsiaTheme="majorEastAsia"/>
        </w:rPr>
        <w:tab/>
      </w:r>
    </w:p>
    <w:p>
      <w:pPr>
        <w:spacing w:after="156" w:afterLines="50" w:line="360" w:lineRule="auto"/>
        <w:ind w:firstLine="482" w:firstLineChars="200"/>
        <w:outlineLvl w:val="0"/>
        <w:rPr>
          <w:rFonts w:cs="宋体" w:asciiTheme="majorEastAsia" w:hAnsiTheme="majorEastAsia" w:eastAsiaTheme="majorEastAsia"/>
          <w:b/>
          <w:bCs/>
        </w:rPr>
      </w:pPr>
      <w:bookmarkStart w:id="666" w:name="_Toc22994"/>
      <w:r>
        <w:rPr>
          <w:rFonts w:hint="eastAsia" w:cs="宋体" w:asciiTheme="majorEastAsia" w:hAnsiTheme="majorEastAsia" w:eastAsiaTheme="majorEastAsia"/>
          <w:b/>
          <w:bCs/>
        </w:rPr>
        <w:t>第一章总则</w:t>
      </w:r>
      <w:bookmarkEnd w:id="66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促进银行业保险业发展绿色金融，积极服务兼具环境和社会效益的各类经济活动，更好助力污染防治攻坚，有序推进碳达峰、碳中和工作，根据《中华人民共和国银行业监督管理法》《中华人民共和国商业银行法》《中华人民共和国保险法》等法律法规，制定本指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本指引所称银行保险机构包括在中华人民共和国境内依法设立的开发银行、政策性银行、商业银行、农村合作银行、农村信用社、保险集团（控股）公司、保险公司、再保险公司、保险资产管理公司。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其他银行业金融机构和保险机构绿色金融管理参照本指引执行。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银行保险机构应当完整、准确、全面贯彻新发展理念，从战略高度推进绿色金融，加大对绿色、低碳、循环经济的支持，防范环境、社会和治理风险，提升自身的环境、社会和治理表现，促进经济社会发展全面绿色转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银行保险机构应当有效识别、监测、防控业务活动中的环境、社会和治理风险，重点关注客户（融资方）及其主要承包商、供应商因公司治理缺陷和管理不到位而在建设、生产、经营活动中可能给环境、社会带来的危害及引发的风险，将环境、社会、治理要求纳入管理流程和全面风险管理体系，强化信息披露和与利益相关者的交流互动，完善相关政策制度和流程管理。重点关注的客户主要包括以下四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（一）银行信贷客户；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（二）投保环境、社会和治理风险等相关保险的客户；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（三）保险资金实体投资项目的融资方；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（四）其他根据法律法规或合同约定应开展环境、社会和治理风险管理的客户。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中国银行保险监督管理委员会（以下简称银保监会）及其派出机构依法负责对银行保险机构绿色金融业务活动实施监督管理。</w:t>
      </w:r>
    </w:p>
    <w:p>
      <w:pPr>
        <w:spacing w:after="156" w:afterLines="50" w:line="360" w:lineRule="auto"/>
        <w:ind w:firstLine="482" w:firstLineChars="200"/>
        <w:outlineLvl w:val="0"/>
        <w:rPr>
          <w:rFonts w:cs="宋体" w:asciiTheme="majorEastAsia" w:hAnsiTheme="majorEastAsia" w:eastAsiaTheme="majorEastAsia"/>
          <w:b/>
          <w:bCs/>
        </w:rPr>
      </w:pPr>
      <w:bookmarkStart w:id="667" w:name="_Toc21888"/>
      <w:r>
        <w:rPr>
          <w:rFonts w:hint="eastAsia" w:cs="宋体" w:asciiTheme="majorEastAsia" w:hAnsiTheme="majorEastAsia" w:eastAsiaTheme="majorEastAsia"/>
          <w:b/>
          <w:bCs/>
        </w:rPr>
        <w:t>第二章组织管理</w:t>
      </w:r>
      <w:bookmarkEnd w:id="66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银行保险机构董事会或理事会应当承担绿色金融主体责任，树立并推行节约、低碳、环保、可持续发展等绿色发展理念，重视发挥银行保险机构在推进生态文明体系建设和促进经济社会发展全面绿色转型中的作用，建立与社会共赢的可持续发展模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银行保险机构董事会或理事会负责确定绿色金融发展战略，审批高级管理层制定的绿色金融目标和提交的绿色金融报告，指定专门委员会负责绿色金融工作，监督、评估本机构绿色金融发展战略执行情况。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银行保险机构高级管理层应当根据董事会或理事会的决定，制定绿色金融目标，建立机制和流程，明确职责和权限，开展内部监督检查和考核评价，每年度向董事会或理事会报告绿色金融发展情况，并按规定向银保监会或其派出机构报送和对外披露绿色金融相关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银行保险机构总部和省级、地市级分支机构应当指定一名高级管理人员牵头负责绿色金融工作，根据需要建立跨部门的绿色金融工作领导和协调机制，统筹推进相关工作。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银行保险机构应当给予绿色金融工作负责人和相关部门充分授权，配备相应资源，并在绩效考核中充分体现绿色金融实施情况。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鼓励银行保险机构在依法合规、风险可控的前提下开展绿色金融体制机制创新，通过组建绿色金融专业部门、建设特色分支机构、设置专岗专职等方式，提升绿色金融服务质效和风险管理水平。</w:t>
      </w:r>
    </w:p>
    <w:p>
      <w:pPr>
        <w:spacing w:after="156" w:afterLines="50" w:line="360" w:lineRule="auto"/>
        <w:ind w:firstLine="482" w:firstLineChars="200"/>
        <w:outlineLvl w:val="0"/>
        <w:rPr>
          <w:rFonts w:cs="宋体" w:asciiTheme="majorEastAsia" w:hAnsiTheme="majorEastAsia" w:eastAsiaTheme="majorEastAsia"/>
          <w:b/>
          <w:bCs/>
        </w:rPr>
      </w:pPr>
      <w:bookmarkStart w:id="668" w:name="_Toc29813"/>
      <w:r>
        <w:rPr>
          <w:rFonts w:hint="eastAsia" w:cs="宋体" w:asciiTheme="majorEastAsia" w:hAnsiTheme="majorEastAsia" w:eastAsiaTheme="majorEastAsia"/>
          <w:b/>
          <w:bCs/>
        </w:rPr>
        <w:t>第三章政策制度及能力建设</w:t>
      </w:r>
      <w:bookmarkEnd w:id="668"/>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银行保险机构应当根据国家绿色低碳发展目标和规划以及相关环保法律法规、产业政策、行业准入政策等规定，建立并不断完善环境、社会和治理风险管理的政策、制度和流程，明确绿色金融的支持方向和重点领域，对国家重点调控的限制类以及有重大风险的行业制定授信指引，实行有差别、动态的授信或投资政策，实施风险敞口管理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银行保险机构应当以助力污染防治攻坚为导向，有序推进碳达峰、碳中和工作。坚持稳中求进，调整完善信贷政策和投资政策，积极支持清洁低碳能源体系建设，支持重点行业和领域节能、减污、降碳、增绿、防灾，实施清洁生产，促进绿色低碳技术推广应用，落实碳排放、碳强度政策要求，先立后破、通盘谋划，有保有压、分类施策，防止“一刀切”和运动式减碳。坚决遏制高耗能、高排放、低水平项目盲目发展，加强对高碳资产的风险识别、评估和管理，在保障能源安全、产业链供应链安全的同时，渐进有序降低资产组合的碳强度，最终实现资产组合的碳中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保险机构应当根据有关法律法规，结合自身经营范围积极开展环境保护、气候变化、绿色产业和技术等领域的保险保障业务以及服务创新，开发相关风险管理方法、技术和工具，为相关领域的生产经营者提供风险管理和服务，推动保险客户提高环境、社会和治理风险管理意识，根据合同约定开展事故预防和风险隐患排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银行保险机构应当制定针对客户的环境、社会和治理风险评估标准，对客户风险进行分类管理与动态评估。银行机构应将风险评估结果作为客户评级、信贷准入、管理和退出的重要依据，并在贷款“三查”、贷款定价和经济资本分配等方面采取差别化的风险管理措施。保险机构应将风险评估结果作为承保管理和投资决策的重要依据，根据客户风险情况，实行差别费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保险机构应当对存在重大环境、社会和治理风险的客户实行名单制管理，积极行使作为债权人或股东的合法权利，要求其采取风险缓释措施，包括制定并落实重大风险应对预案，畅通利益相关方申诉渠道，建立充分、及时、有效的沟通机制，寻求第三方核查或分担风险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银行保险机构应当建立有利于绿色金融创新的工作机制，在依法合规、有效控制风险和商业可持续的前提下，推动绿色金融流程、产品和服务创新。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银行保险机构应当重视自身的环境、社会和治理表现，建立相关制度，加强绿色金融理念宣传教育，规范经营行为，实行绿色办公、绿色运营、绿色采购、绿色出行、“光盘”行动等，积极发展金融科技，提高信息化、集约化管理和服务水平，渐进有序减少碳足迹，最终实现运营的碳中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银行保险机构应当加强绿色金融能力建设，建立健全相关业务标准和统计制度，强化对绿色金融数据的治理，完善相关管理系统，加强绿色金融培训，培养和引进相关专业人才。必要时可以借助合格、独立的第三方对环境、社会和治理风险进行评审或通过其他有效方式，获得相关专业服务。</w:t>
      </w:r>
    </w:p>
    <w:p>
      <w:pPr>
        <w:spacing w:after="156" w:afterLines="50" w:line="360" w:lineRule="auto"/>
        <w:ind w:firstLine="482" w:firstLineChars="200"/>
        <w:outlineLvl w:val="0"/>
        <w:rPr>
          <w:rFonts w:cs="宋体" w:asciiTheme="majorEastAsia" w:hAnsiTheme="majorEastAsia" w:eastAsiaTheme="majorEastAsia"/>
          <w:b/>
          <w:bCs/>
        </w:rPr>
      </w:pPr>
      <w:bookmarkStart w:id="669" w:name="_Toc4234"/>
      <w:r>
        <w:rPr>
          <w:rFonts w:hint="eastAsia" w:cs="宋体" w:asciiTheme="majorEastAsia" w:hAnsiTheme="majorEastAsia" w:eastAsiaTheme="majorEastAsia"/>
          <w:b/>
          <w:bCs/>
        </w:rPr>
        <w:t>第四章投融资流程管理</w:t>
      </w:r>
      <w:bookmarkEnd w:id="669"/>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银行保险机构应当加强授信和投资尽职调查，根据客户及其项目所处行业、区域特点，明确环境、社会和治理风险尽职调查的内容要点，确保调查全面、深入、细致。必要时可以寻求合格、独立的第三方和相关主管部门的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银行保险机构应当对拟授信客户和拟投资项目进行严格的合规审查，针对不同行业的客户特点，制定环境、社会和治理方面的合规文件清单和合规风险审查清单，审查客户提交的文件和相关手续的合规性、有效性和完整性，确信客户对相关风险点有足够的重视和有效的动态控制，符合实质合规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银行保险机构应当加强授信和投资审批管理，根据客户面临的环境、社会和治理风险的性质和严重程度，确定合理的授信、投资权限和审批流程。对在环境、社会和治理方面存在严重违法违规和重大风险的客户，应当严格限制对其授信和投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银行保险机构应当通过完善合同条款督促客户加强环境、社会和治理风险管理。对涉及重大环境、社会和治理风险的信贷客户和投资项目，应当在合同正文或附件中要求客户提交环境、社会和治理风险报告，订立客户加强环境、社会和治理风险管理的声明和承诺条款，以及客户在管理环境、社会和治理风险方面违约时的救济条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银行保险机构应当加强信贷和投资资金拨付管理，将客户对环境、社会和治理风险的管理状况作为信贷和投资资金拨付的重要依据。在已授信和投资项目的设计、准备、施工、竣工、运营、关停等相关环节，合理设置环境、社会和治理风险评估关卡，对出现重大风险隐患的，可以按照合同约定中止直至终止资金拨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 银行保险机构应当加强贷后和投后管理，对有潜在重大环境、社会和治理风险的客户，制定并实行有针对性的管理措施。密切关注国内外法律、政策、技术、市场变化对客户经营状况和行业发展的影响，加强动态分析，开展情景分析和压力测试，并在资产风险分类、准备计提等方面及时做出调整。建立健全客户重大环境、社会和治理风险的内部报告制度和责任追究制度，在客户发生重大环境、社会和治理风险事件时，应当督促客户及时采取相关的风险处置措施，并就该事件可能造成的影响及时进行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 银行保险机构应当根据自身实际积极运用大数据、区块链、人工智能等科技手段提升绿色金融管理水平，不断完善产品开发、经营销售、投融资管理等业务流程，优化对小微企业融资、线上融资等业务的环境、社会和治理风险管理，结合业务特点在风险评估、尽职调查、合规审查、信贷管理、投后管理等方面采取差异化、便捷化的管理措施，提高风险管理的覆盖面和有效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 银行保险机构应当积极支持“一带一路”绿色低碳建设，加强对拟授信和投资的境外项目的环境、社会和治理风险管理，要求项目发起人及其主要承包商、供应商遵守项目所在国家或地区有关生态、环境、土地、健康、安全等相关法律法规，遵循相关国际惯例或准则，确保对项目的管理与国际良好做法在实质上保持一致。</w:t>
      </w:r>
    </w:p>
    <w:p>
      <w:pPr>
        <w:spacing w:after="156" w:afterLines="50" w:line="360" w:lineRule="auto"/>
        <w:ind w:firstLine="482" w:firstLineChars="200"/>
        <w:outlineLvl w:val="0"/>
        <w:rPr>
          <w:rFonts w:cs="宋体" w:asciiTheme="majorEastAsia" w:hAnsiTheme="majorEastAsia" w:eastAsiaTheme="majorEastAsia"/>
          <w:b/>
          <w:bCs/>
        </w:rPr>
      </w:pPr>
      <w:bookmarkStart w:id="670" w:name="_Toc1185"/>
      <w:r>
        <w:rPr>
          <w:rFonts w:hint="eastAsia" w:cs="宋体" w:asciiTheme="majorEastAsia" w:hAnsiTheme="majorEastAsia" w:eastAsiaTheme="majorEastAsia"/>
          <w:b/>
          <w:bCs/>
        </w:rPr>
        <w:t>第五章内控管理与信息披露</w:t>
      </w:r>
      <w:bookmarkEnd w:id="67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 银行保险机构应当将绿色金融政策执行情况纳入内控合规检查范围，定期组织实施内部审计。检查发现违规问题的，应当依据规定进行问责。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 银行保险机构应当建立有效的绿色金融考核评价体系和奖惩机制，落实激励约束措施，完善尽职免责机制，确保绿色金融持续有效开展。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 银行保险机构应当公开绿色金融战略和政策，充分披露绿色金融发展情况。借鉴国际惯例、准则或良好实践，提升信息披露水平。对涉及重大环境、社会和治理风险影响的授信或投资情况，应当建立申诉回应机制，依据法律法规、自律管理规则等主动、及时、准确、完整披露相关信息，接受市场和利益相关方的监督。必要时可以聘请合格、独立的第三方，对银行保险机构履行环境、社会和治理责任的活动进行鉴证、评估或审计。</w:t>
      </w:r>
    </w:p>
    <w:p>
      <w:pPr>
        <w:spacing w:after="156" w:afterLines="50" w:line="360" w:lineRule="auto"/>
        <w:ind w:firstLine="482" w:firstLineChars="200"/>
        <w:outlineLvl w:val="0"/>
        <w:rPr>
          <w:rFonts w:cs="宋体" w:asciiTheme="majorEastAsia" w:hAnsiTheme="majorEastAsia" w:eastAsiaTheme="majorEastAsia"/>
          <w:b/>
          <w:bCs/>
        </w:rPr>
      </w:pPr>
      <w:bookmarkStart w:id="671" w:name="_Toc30150"/>
      <w:r>
        <w:rPr>
          <w:rFonts w:hint="eastAsia" w:cs="宋体" w:asciiTheme="majorEastAsia" w:hAnsiTheme="majorEastAsia" w:eastAsiaTheme="majorEastAsia"/>
          <w:b/>
          <w:bCs/>
        </w:rPr>
        <w:t>第六章监督管理</w:t>
      </w:r>
      <w:bookmarkEnd w:id="671"/>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 银保监会及其派出机构应当加强与相关主管部门的协调配合，推动建立健全信息共享机制，为银行保险机构获得绿色产业项目信息、企业环境、社会和治理风险相关信息提供便利，向银行保险机构提示相关风险。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第三十条 银保监会及其派出机构应当加强非现场监管，完善非现场监管指标，强化对银行保险机构管理环境、社会和治理风险的监测分析，及时引导其调整完善信贷和投资政策，加强风险管理。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第三十一条 银保监会及其派出机构组织开展日常监管和监督检查，应当充分考虑银行保险机构管理环境、社会和治理风险的情况，明确相关监管内容和要求。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第三十二条 银行保险机构在开展绿色金融业务过程中违反相关监管规定的，银保监会及其派出机构可依法采取监管措施，督促银行保险机构整改。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第三十三条 银保监会及其派出机构应当加强对银行保险机构绿色金融业务的指导，在银行保险机构自评估的基础上，采取适当方式评估银行保险机构绿色金融成效，按照相关法律法规将评估结果作为银行保险机构监管评级、机构准入、业务准入、高管人员履职评价的重要参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第三十四条 银保监会及其派出机构应当指导银行保险行业自律组织积极发挥作用，通过组织会员单位定期进行绿色金融实施情况评价，开展绿色金融教育培训、交流研讨、调查研究、推荐专业人才等方式，促进绿色金融发展。</w:t>
      </w:r>
    </w:p>
    <w:p>
      <w:pPr>
        <w:spacing w:after="156" w:afterLines="50" w:line="360" w:lineRule="auto"/>
        <w:ind w:firstLine="482" w:firstLineChars="200"/>
        <w:outlineLvl w:val="0"/>
        <w:rPr>
          <w:rFonts w:cs="宋体" w:asciiTheme="majorEastAsia" w:hAnsiTheme="majorEastAsia" w:eastAsiaTheme="majorEastAsia"/>
          <w:b/>
          <w:bCs/>
        </w:rPr>
      </w:pPr>
      <w:bookmarkStart w:id="672" w:name="_Toc1734"/>
      <w:r>
        <w:rPr>
          <w:rFonts w:hint="eastAsia" w:cs="宋体" w:asciiTheme="majorEastAsia" w:hAnsiTheme="majorEastAsia" w:eastAsiaTheme="majorEastAsia"/>
          <w:b/>
          <w:bCs/>
        </w:rPr>
        <w:t>第七章附则</w:t>
      </w:r>
      <w:bookmarkEnd w:id="67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第三十五条 本指引自公布之日起实施。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银行保险机构应当自本指引实施之日起1年内建立和完善相关内部管理制度和流程，确保绿色金融管理工作符合监管规定。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第三十六条 本指引由银保监会负责解释。</w:t>
      </w:r>
    </w:p>
    <w:p>
      <w:pPr>
        <w:spacing w:after="156" w:afterLines="50" w:line="360" w:lineRule="auto"/>
        <w:ind w:firstLine="482" w:firstLineChars="200"/>
        <w:rPr>
          <w:rFonts w:cs="宋体" w:asciiTheme="majorEastAsia" w:hAnsiTheme="majorEastAsia" w:eastAsiaTheme="majorEastAsia"/>
          <w:b/>
          <w:bCs/>
        </w:rPr>
        <w:sectPr>
          <w:endnotePr>
            <w:numFmt w:val="decimal"/>
          </w:endnotePr>
          <w:pgSz w:w="11906" w:h="16838"/>
          <w:pgMar w:top="1440" w:right="1800" w:bottom="1440" w:left="1800" w:header="851" w:footer="992" w:gutter="0"/>
          <w:cols w:space="720" w:num="1"/>
          <w:docGrid w:type="lines" w:linePitch="312" w:charSpace="0"/>
        </w:sectPr>
      </w:pPr>
    </w:p>
    <w:p>
      <w:pPr>
        <w:pStyle w:val="2"/>
        <w:numPr>
          <w:ilvl w:val="0"/>
          <w:numId w:val="0"/>
        </w:numPr>
        <w:ind w:left="922" w:leftChars="0" w:hanging="440" w:firstLineChars="0"/>
      </w:pPr>
      <w:bookmarkStart w:id="673" w:name="_Toc108"/>
      <w:r>
        <w:rPr>
          <w:rFonts w:cs="宋体" w:asciiTheme="majorEastAsia" w:hAnsiTheme="majorEastAsia" w:eastAsiaTheme="majorEastAsia"/>
          <w:b/>
          <w:bCs/>
          <w:sz w:val="24"/>
          <w:szCs w:val="24"/>
          <w:lang w:val="en-US" w:eastAsia="zh-CN" w:bidi="ar-SA"/>
        </w:rPr>
        <w:t>127.</w:t>
      </w:r>
      <w:r>
        <w:rPr>
          <w:rFonts w:hint="eastAsia"/>
        </w:rPr>
        <w:t>《中国银保监会办公厅住房和城乡建设部办公厅中国人民银行办公厅关于商业银行出具保函置换预售监管资金有关工作的通知》</w:t>
      </w:r>
      <w:bookmarkEnd w:id="67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发文机构：中国银行保险监督管理委员会（已撤销）、住房和城乡建设部、中国人民银行</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文号：银保监办发〔2022〕104号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保监局，各省、自治区、直辖市及新疆生产建设兵团住房和城乡建设厅（委、管委、局），中国人民银行上海总部，各分行、营业管理部，各省会（首府）城市中心支行，各副省级城市中心支行，各大型银行、股份制银行、外资银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为明确商业银行出具保函置换预售监管资金相关要求，支持优质房地产企业合理使用预售监管资金，防范化解房地产企业流动性风险，促进房地产市场平稳健康发展，现将有关事项通知如下：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、允许商业银行按市场化、法治化原则，在充分评估房地产企业信用风险、财务状况、声誉风险等的基础上进行自主决策，与优质房地产企业开展保函置换预售监管资金业务。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保函仅可用于置换依法合规设立的预售资金监管账户的监管额度内资金。房地产企业要按照《关于规范商品房预售资金监管的意见》（建房〔2022〕16号）规定开设预售资金监管账户，购房人缴纳的定金和首付款、商业银行发放的按揭贷款以及其他形式的购房款等商品房预售资金，应当全部直接存入监管账户。监管账户内资金达到住房和城乡建设部门规定的监管额度后，房地产企业可向商业银行申请出具保函置换监管额度内资金，保函置换金额不得超过监管账户中确保项目竣工交付所需的资金额度的30%，置换后的监管资金不得低于监管账户中确保项目竣工交付所需的资金额度的70%。</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监管额度内资金拨付使用时，预售资金监管账户开立行（以下简称监管账户行）应在3个工作日内将相关信息通知出具保函的银行，出函银行要督促房地产企业向监管账户内补足差额资金（拨付资金×保函置换预售监管资金的比例），保函金额相应下调，确保监管账户内资金始终不低于项目竣工交付所需的资金额度的70%。如房地产企业未向监管账户内补足差额资金，保函金额不得调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、商业银行要合理确定保函期限，确保与项目建设周期相匹配。项目竣工交付或商品房项目完成房屋所有权首次登记预售资金协议解除后，保函相应失效。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监管评级4级及以下或资产规模低于5000亿元的商业银行不得开展保函置换预售监管资金业务。商业银行不得向作为本银行主要股东、控股股东或关联方的房地产企业出具保函置换预售监管资金。企业集团财务公司等非银行金融机构不得出具保函置换预售监管资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 、商业银行在出具保函置换预售监管资金时，要参照开发贷款授信标准，充分评估房地产企业信用风险、财务状况、声誉风险、项目销售前景和剩余货值等，与经营稳健、财务状况良好的优质房地产企业开展保函置换预售监管资金业务。对债权债务关系复杂、涉案涉诉纠纷较多、对外担保额度过大、施工进度明显低于预期的项目，应审慎出具保函。对于项目主体与总承包方存在关联关系的，要充分评估项目风险。保函额度全额计入对房地产企业及其所属集团的统一授信额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 、商业银行要通过保证金、房地产企业反担保以及其他增信措施，防范保函业务风险，按要求计提风险资本，提取风险准备。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 、房地产企业提供商业银行出具的保函，向住房和城乡建设部门请求释放预售资金监管账户相应额度资金的，监管账户行应配合住房和城乡建设部门做好必要的审核工作。住房和城乡建设部门研究同意后向监管账户行发出拨付指令。监管账户行根据住房和城乡建设部门拨付指令做好资金拨付，并等额减少账户管理额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 、在保函有效期内，如监管账户内剩余资金不足以支付项目工程款，出函银行应立即履约垫付，在保函额度内支付扣除账户内剩余资金后的差额部分。一旦出现垫付，出函银行要及时向房地产企业采取追索措施，保全债权安全。垫付资金应足额计提拨备、真实分类，不得隐藏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 、各地不得强制商业银行出具保函，不得将出具保函与当地预售资金监管资格挂钩。住房和城乡建设部门、金融管理部门应为商业银行开展保函置换预售监管资金业务提供必要支持。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 、房地产企业要按规定使用保函置换的预售监管资金，优先用于项目工程建设、偿还项目到期债务等，不得用于购置土地、新增其他投资、偿还股东借款等。房地产企业要按约定承担监管账户内的资金补足义务，确保项目建设资金充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 、各地要加强房地产企业管理，对房地产企业违规使用资金的行为进行严肃查处。监管账户行、出函银行发现房地产企业违规使用资金，或在预售资金拨付后未及时补足差额资金，应及时报告有关部门。住房和城乡建设部门、金融管理部门可采取联合约谈、行政处罚等措施，督促房地产企业纠正违规行为。</w:t>
      </w:r>
    </w:p>
    <w:p>
      <w:pPr>
        <w:spacing w:after="156" w:afterLines="50" w:line="360" w:lineRule="auto"/>
        <w:ind w:firstLine="480" w:firstLineChars="200"/>
        <w:rPr>
          <w:rFonts w:cs="宋体" w:asciiTheme="majorEastAsia" w:hAnsiTheme="majorEastAsia" w:eastAsiaTheme="majorEastAsia"/>
        </w:rPr>
        <w:sectPr>
          <w:endnotePr>
            <w:numFmt w:val="decimal"/>
          </w:endnotePr>
          <w:pgSz w:w="11906" w:h="16838"/>
          <w:pgMar w:top="1440" w:right="1800" w:bottom="1440" w:left="1800" w:header="851" w:footer="992" w:gutter="0"/>
          <w:cols w:space="720" w:num="1"/>
          <w:docGrid w:type="lines" w:linePitch="312" w:charSpace="0"/>
        </w:sectPr>
      </w:pPr>
    </w:p>
    <w:p>
      <w:pPr>
        <w:pStyle w:val="2"/>
        <w:numPr>
          <w:ilvl w:val="0"/>
          <w:numId w:val="0"/>
        </w:numPr>
        <w:ind w:left="922" w:leftChars="0" w:hanging="440" w:firstLineChars="0"/>
      </w:pPr>
      <w:bookmarkStart w:id="674" w:name="_Toc16312"/>
      <w:r>
        <w:rPr>
          <w:rFonts w:cs="宋体" w:asciiTheme="majorEastAsia" w:hAnsiTheme="majorEastAsia" w:eastAsiaTheme="majorEastAsia"/>
          <w:b/>
          <w:bCs/>
          <w:sz w:val="24"/>
          <w:szCs w:val="24"/>
          <w:lang w:val="en-US" w:eastAsia="zh-CN" w:bidi="ar-SA"/>
        </w:rPr>
        <w:t>128.</w:t>
      </w:r>
      <w:r>
        <w:rPr>
          <w:rFonts w:hint="eastAsia"/>
        </w:rPr>
        <w:t>《中国银保监会办公厅关于2023年加力提升小微企业金融服务质量的通知》</w:t>
      </w:r>
      <w:bookmarkEnd w:id="67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发文机构：中国银行保险监督管理委员会办公厅（已撤销）</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文号：银保监办发〔2023〕42号</w:t>
      </w:r>
      <w:r>
        <w:rPr>
          <w:rFonts w:hint="eastAsia" w:cs="宋体" w:asciiTheme="majorEastAsia" w:hAnsiTheme="majorEastAsia" w:eastAsiaTheme="major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各银保监局，各政策性银行、大型银行、股份制银行、外资银行、直销银行，各保险集团（控股）公司、保险公司、保险资产管理公司：</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为深入贯彻党的二十大和中央经济工作会议精神，引导金融机构加力提升小微企业金融服务质量，在支持经济恢复、产业发展方面发挥更大作用，经银保监会同意，现就2023年有关工作事项通知如下：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 、总体要求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指导思想。以习近平新时代中国特色社会主义思想为指导，深入贯彻党的二十大精神，完整、准确、全面贯彻新发展理念，积极践行金融工作的政治性和人民性，聚焦稳增长、稳就业、稳物价任务和改善预期、提振信心目标，加力提升小微企业金融服务质量，切实增强小微企业金融服务获得感，促进小微市场主体全面复苏和创新发展，更好激发市场活力和内生发展动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工作目标。形成与实体经济发展相适应的小微企业金融服务体系，2023年总体继续保持增量扩面态势，服务结构不断优化，重点领域服务精准度持续提升，保险保障渠道逐步拓展。贷款利率总体保持平稳，推动小微企业综合融资成本逐步降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 、加强服务对接，精准支持重点领域小微市场主体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加大市场主体走访和服务对接力度。银行保险机构要践行人民至上、客户为本的理念，主动对接小微市场主体，深入了解全生命周期、全方位的金融需求，找准与自身小微经营战略的结合点，精准发掘重点领域服务需求。开展“走万企提信心优服务”活动，积极联动相关行业主管部门、地方政府，依托产业园区、行业协会、服务中心、信息平台等渠道，搭建供需对接匹配机制，找准当前服务梗阻和政策落实堵点，推动服务触达、政策落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支持困难行业恢复，助力扩内需稳就业。银行保险机构要聚焦住宿、餐饮、零售、教育、文化、旅游、体育、交通运输、外贸等领域小微市场主体，特别是经营前景良好、因疫情影响经营尚未完全恢复的小微企业，满足其合理金融需求，促进纾困解难、扩大内需和稳定就业，支持经济复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支持小微企业科技创新，助力产业发展。银行保险机构要立足现代化产业体系建设需要，围绕小微企业科技创新、专精特新发展，构建专业化的服务机制，加大内部激励力度。优化服务模式，综合运用动产和知识产权、供应链票据、应收账款融资及财产保险、责任保险等服务方式，强化资金支持和风险保障，加强与直接融资有机衔接，培育小微企业成为创新发源地。加大制造业小微企业中长期资金供给，支持设备更新、技术改造、绿色转型发展，助力提升产业链韧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支持个体工商户纾困，助力改善民生。银行保险机构要认真落实《促进个体工商户发展条例》，为个体工商户提供适合的产品服务。银行业金融机构要根据个体工商户缺信用信息、缺抵押担保的特点，改进信用评价和授信管理，综合运用经营信息、交易流水、征信信息、公共信用信息等多维度数据，积极研发小额信用贷款产品，努力实现个体工商户贷款余额、户数持续增长。鼓励发展随借随还贷款产品，更好满足个体工商户用款急、期限短、频度高的资金需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 、优化供给结构，提升小微企业服务质量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七）优化小微企业信贷结构。重点围绕小微企业无贷户加大支持，扩大服务覆盖面。加强对小微企业信用信息的挖掘运用，增加信用贷款投放，降低对担保等第二还款来源的依赖。合理满足单户授信总额1000万元以上的小微企业信贷需求，支持小微企业发展壮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八）完善小微企业服务定价机制。银行业金融机构要根据贷款市场报价利率（LPR）和小微企业客群特征，合理确定贷款利率。银行保险机构要规范小微企业金融服务收费行为，提升服务定价科学性和精准性，加强服务项目与价格公示，做好优惠措施告知。银行业金融机构与第三方合作向小微企业提供服务的，要充分了解第三方机构向企业收费情况，将收费标准作为重要审查条件，严格审核、持续评估，发现存在违规收费、收费过高的要及时停止合作，推动降低小微企业实际融资成本。</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九）加大对小微企业续贷支持力度。银行业金融机构要开发小微企业续贷专门产品或完善现有产品续贷功能，原则上小微企业流动资金贷款产品和小微企业主、个体工商户中短期经营性贷款产品都应具备续贷功能。合理确定本行续贷条件，严禁为挪用于非生产经营用途的贷款办理续贷，不得用续贷掩盖信用风险。银行业金融机构通过地方政府设立的应急转贷资金向生产经营正常、信用状况良好的小微企业提供接续融资，可比照小微企业续贷业务进行风险分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落实落细监管评价要求。银行业金融机构要结合小微企业金融服务监管评价情况，逐项查缺补漏，做实专业化服务机制，在组织架构、队伍建设、绩效考核、内部资金转移定价等方面强化资源保障。综合运用内部检查、审计等手段，加强对基层落实政策要求的督导。细化小微企业授信尽职免责制度，与不良容忍度政策有效结合，明确各流程环节人员免责认定标准，增强基层执行的可操作性，努力做到应免尽免。</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 、发掘服务优势，增强小微企业服务能力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一）提升大中型银行服务小微企业内生动力。大中型商业银行要坚持将小微金融纳入长期发展战略，强化战略传导，做深做实分支机构服务机制。大型银行要进一步发挥资源、技术优势，优化小微业务的数字化经营模式，深挖服务潜力，实现规模经济。股份制银行要提升自主服务能力，培育专业化人才队伍，筑牢小微业务发展基础。大中型商业银行要增强金融供给的区域协调性，对前期小微信贷投放薄弱的地区，要进一步压实责任，督促相关分行加大投放力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二）推动地方法人银行加大小微企业信贷支持力度。地方法人银行要坚守服务当地的定位，加大支持小微企业力度，与改革化险、强化公司治理有机融合，在服务半径内深耕小微企业客群。加强营销获客、授信审批、风险管理等能力建设，利用人缘、地缘优势，探索构建有效的小微企业服务模式，打造小微金融“金字招牌”和“百年老店”。加强人才队伍建设，做好资源保障，激励基层员工积极投身小微金融事业，提升小微业务人员队伍的稳定性。普惠型小微企业贷款占比较低的地方法人银行，要继续加大信贷资源投放，稳步提升业务占比。</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三）积极发挥政策性资金服务小微企业优势。政策性银行与转贷行要健全小微企业转贷款业务合作机制，加强规范化、精细化管理，完善转贷款管理制度、业务流程及信息系统。政策性银行与转贷行要在自主协商的基础上，合理确定转贷款利率。转贷行要将转贷款利率优惠有效传导至实际用款人，通过转贷款发放的小微企业贷款终端平均利率不得高于上一季度当地同类机构同类贷款平均利率水平。支持政策性银行根据自身战略，探索开展小微企业直贷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 、完善业务模式，拓展小微企业保险保障渠道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四）构建保险公司服务小微企业机制。各保险集团和保险公司要将小微企业保险服务融入发展战略，树立为小微企业提供全面、系统风险保障的理念。明确专门部门统筹小微企业保险工作，梳理服务小微企业的各类保险业务，在内部系统中明确小微企业、个体工商户客户身份标识，夯实小微企业保险数据基础。出口信用保险公司要加大对外贸小微企业的支持力度，扩大短期出口信用保险对外贸小微企业的覆盖面。支持再保险公司积极参与面向小微企业的保险风险分担。支持保险公司与政府、银行等围绕服务小微企业开展多元化合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五）丰富小微企业保险产品服务供给。鼓励保险公司按照商业可持续、保费合理的原则，针对不同行业、不同生产经营特点的小微企业、个体工商户需求，丰富产品种类，设计专属保险方案。鼓励灵活缴费服务方式，探索简易化定损理赔模式。推广服务小微企业的工程建设、技术装备、物流运输、知识产权、灾害应对、营业中断、产品责任、雇主责任等财产保险产品。拓展面向小微企业的出口信用保险、国内贸易信用险、海外投资险等。丰富面向个体工商户、小微企业主等企业重要关系人的健康、意外、养老等人身保险产品。丰富面向小微企业员工的团体人身保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 、加强规范管理，搭建服务平台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六）规范小微企业金融业务管理。银行业金融机构要加强贷款“三查”，不得向无实际经营的空壳企业发放经营用途贷款，强化对成立时间或受让企业股权时间较短的借款主体资质审核，防止借款人利用小微企业（主）和个体工商户身份套取经营性贷款资金，加强贷后资金流向监测和用途真实性管理。科学合理对小微企业授信，防范“过度授信”风险。加强对小微企业贷款风险的监测分析，做实风险分类，合理控制贷款质量。加强小微业务数据治理，提高数据报送质量和规范性。各级监管部门要综合运用现场检查、监管评价等多种方式，跟踪督促银行保险机构落实小微企业金融监管政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七）畅通基层诉求回应渠道。银行保险机构要将小微企业的满意度作为检验服务质量的标准，主动听取、认真回应小微企业合理诉求，指导基层分支机构、客户经理努力把问题解决在服务第一线。各级监管部门要联动地方政府健全完善当地小微市场主体诉求回应机制，畅通问题反映渠道，强化市场监督，推动服务质量监督关口前移。对反映实质性问题较多、回应机制不畅、诉求解决不力的机构，针对性督导整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十八）加强协同联动。各级监管部门、各银行保险机构要主动加强与中央有关部门和地方政府的对接，积极推动全国一体化融资信用服务平台网络等信息共享机制建设，推动各地更加精准全面归集共享小微企业信用信息，优化数据交换方式，提升信用信息的可用性。主动对接产业政策、科技政策、财政政策、社会政策，结合当地实际构建“金融+”服务机制，将政府引导、政策支持、金融资源合力转化为小微企业发展动能。加强小微企业金融政策传导，主动解读政策，疏通政策落实堵点。及时总结宣传良好做法和经验模式，提升公众知悉度，增强市场主体获得感，营造高质量服务小微企业的良好氛围。</w:t>
      </w:r>
    </w:p>
    <w:p>
      <w:pPr>
        <w:spacing w:after="156" w:afterLines="50" w:line="360" w:lineRule="auto"/>
        <w:ind w:firstLine="480" w:firstLineChars="200"/>
        <w:rPr>
          <w:rFonts w:cs="宋体" w:asciiTheme="majorEastAsia" w:hAnsiTheme="majorEastAsia" w:eastAsiaTheme="majorEastAsia"/>
        </w:rPr>
        <w:sectPr>
          <w:endnotePr>
            <w:numFmt w:val="decimal"/>
          </w:endnotePr>
          <w:pgSz w:w="11906" w:h="16838"/>
          <w:pgMar w:top="1440" w:right="1800" w:bottom="1440" w:left="1800" w:header="851" w:footer="992" w:gutter="0"/>
          <w:cols w:space="720" w:num="1"/>
          <w:docGrid w:type="lines" w:linePitch="312" w:charSpace="0"/>
        </w:sectPr>
      </w:pPr>
    </w:p>
    <w:p>
      <w:pPr>
        <w:pStyle w:val="2"/>
        <w:numPr>
          <w:ilvl w:val="0"/>
          <w:numId w:val="0"/>
        </w:numPr>
        <w:ind w:left="922" w:leftChars="0" w:hanging="440" w:firstLineChars="0"/>
      </w:pPr>
      <w:bookmarkStart w:id="675" w:name="_Toc9873"/>
      <w:r>
        <w:rPr>
          <w:rFonts w:cs="宋体" w:asciiTheme="majorEastAsia" w:hAnsiTheme="majorEastAsia" w:eastAsiaTheme="majorEastAsia"/>
          <w:b/>
          <w:bCs/>
          <w:sz w:val="24"/>
          <w:szCs w:val="24"/>
          <w:lang w:val="en-US" w:eastAsia="zh-CN" w:bidi="ar-SA"/>
        </w:rPr>
        <w:t>129.</w:t>
      </w:r>
      <w:r>
        <w:rPr>
          <w:rFonts w:hint="eastAsia"/>
        </w:rPr>
        <w:t>《中国银行业中间业务自律管理办法》</w:t>
      </w:r>
      <w:bookmarkEnd w:id="675"/>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发文机构：中国银行业协会</w:t>
      </w:r>
      <w:r>
        <w:rPr>
          <w:rFonts w:hint="eastAsia" w:cs="宋体" w:asciiTheme="majorEastAsia" w:hAnsiTheme="majorEastAsia" w:eastAsiaTheme="majorEastAsia"/>
        </w:rPr>
        <w:tab/>
      </w:r>
      <w:r>
        <w:rPr>
          <w:rFonts w:hint="eastAsia" w:cs="宋体" w:asciiTheme="majorEastAsia" w:hAnsiTheme="majorEastAsia" w:eastAsiaTheme="majorEastAsia"/>
        </w:rPr>
        <w:t>文号：银协发〔2013〕56号</w:t>
      </w:r>
      <w:r>
        <w:rPr>
          <w:rFonts w:hint="eastAsia" w:cs="宋体" w:asciiTheme="majorEastAsia" w:hAnsiTheme="majorEastAsia" w:eastAsiaTheme="majorEastAsia"/>
        </w:rPr>
        <w:tab/>
      </w:r>
    </w:p>
    <w:p>
      <w:pPr>
        <w:spacing w:after="156" w:afterLines="50" w:line="360" w:lineRule="auto"/>
        <w:ind w:firstLine="482" w:firstLineChars="200"/>
        <w:outlineLvl w:val="0"/>
        <w:rPr>
          <w:rFonts w:cs="宋体" w:asciiTheme="majorEastAsia" w:hAnsiTheme="majorEastAsia" w:eastAsiaTheme="majorEastAsia"/>
          <w:b/>
          <w:bCs/>
        </w:rPr>
      </w:pPr>
      <w:bookmarkStart w:id="676" w:name="_Toc18301"/>
      <w:r>
        <w:rPr>
          <w:rFonts w:hint="eastAsia" w:cs="宋体" w:asciiTheme="majorEastAsia" w:hAnsiTheme="majorEastAsia" w:eastAsiaTheme="majorEastAsia"/>
          <w:b/>
          <w:bCs/>
        </w:rPr>
        <w:t>第一章总则</w:t>
      </w:r>
      <w:bookmarkEnd w:id="67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第一条为强化行业自律，促进银行业中间业务的健康发展，维护会员单位和客户的合法权益，培育规范经营、公平竞争的市场环境，根据国家有关法律、法规和相关监管要求，结合中间业务实际，特制定本办法。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第二条本办法所称中间业务，是指不构成商业银行表内资产、表内负债，形成银行非利息收入的业务。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第三条本办法所称中间业务收费项目包括政府指导价、政府定价和市场调节价三类。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中国银行业协会鼓励各会员单位大力发展中间业务，加快产品创新，丰富服务品种，改进服务方式，提高服务效率，拓展客户选择银行服务的空间，满足客户日益增长的金融服务需求，进一步树立银行业良好的社会形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第五条本办法适用于中国银行业协会全体会员单位。</w:t>
      </w:r>
    </w:p>
    <w:p>
      <w:pPr>
        <w:spacing w:after="156" w:afterLines="50" w:line="360" w:lineRule="auto"/>
        <w:ind w:firstLine="482" w:firstLineChars="200"/>
        <w:outlineLvl w:val="0"/>
        <w:rPr>
          <w:rFonts w:cs="宋体" w:asciiTheme="majorEastAsia" w:hAnsiTheme="majorEastAsia" w:eastAsiaTheme="majorEastAsia"/>
          <w:b/>
          <w:bCs/>
        </w:rPr>
      </w:pPr>
      <w:bookmarkStart w:id="677" w:name="_Toc22849"/>
      <w:r>
        <w:rPr>
          <w:rFonts w:hint="eastAsia" w:cs="宋体" w:asciiTheme="majorEastAsia" w:hAnsiTheme="majorEastAsia" w:eastAsiaTheme="majorEastAsia"/>
          <w:b/>
          <w:bCs/>
        </w:rPr>
        <w:t>第二章基本原则</w:t>
      </w:r>
      <w:bookmarkEnd w:id="67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第六条会员单位应树立科学、可持续发展的经营观，遵循市场规律，坚持诚信经营、公平竞争、防范风险、合理定价，共同营造良好的中间业务发展环境，自觉维护并促进社会和谐发展。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会员单位中间业务收费，应遵循四个原则，一是依法合规，严格遵守相关规定；二是最大限度尽社会责任，服务定价充分考虑弱势群体；三是科学合理，质价相符；四是公开透明，给客户充分知情权和选择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第八条会员单位应坚持服务实体经济，深刻认识金融与经济、银行与客户共生共荣关系，努力协调银行利益与客户利益，改善服务质量，提升服务水平。促进银行业中间业务可持续发展。</w:t>
      </w:r>
    </w:p>
    <w:p>
      <w:pPr>
        <w:spacing w:after="156" w:afterLines="50" w:line="360" w:lineRule="auto"/>
        <w:ind w:firstLine="482" w:firstLineChars="200"/>
        <w:outlineLvl w:val="0"/>
        <w:rPr>
          <w:rFonts w:cs="宋体" w:asciiTheme="majorEastAsia" w:hAnsiTheme="majorEastAsia" w:eastAsiaTheme="majorEastAsia"/>
          <w:b/>
          <w:bCs/>
        </w:rPr>
      </w:pPr>
      <w:bookmarkStart w:id="678" w:name="_Toc10129"/>
      <w:r>
        <w:rPr>
          <w:rFonts w:hint="eastAsia" w:cs="宋体" w:asciiTheme="majorEastAsia" w:hAnsiTheme="majorEastAsia" w:eastAsiaTheme="majorEastAsia"/>
          <w:b/>
          <w:bCs/>
        </w:rPr>
        <w:t>第三章业务管理</w:t>
      </w:r>
      <w:bookmarkEnd w:id="678"/>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第九条会员单位应建立完善的中间业务管理组织架构、产品研发、市场营销、服务定价、会计核算和风险管理等基本制度，明确工作职责，确保中间业务的有效管理和规范发展。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第十条会员单位开办的中间业务品种范围，不得违反国家有关法律、法规和相关监管规定的禁止性规定。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第十一条会员单位应严格按照对外公告的中间业务收费项目和收费标准进行收费，不得对未公告收费项目进行收费。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第十二条会员单位应充分考虑市场环境和本行实际，制定切实可行的中间业务发展计划和绩效考核办法，确保各项指标科学合理，引导各项业务可持续发展。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第十三条会员单位开展中间业务，应坚持依法合规经营、公平有序竞争，不得通过恶意压低价格、降低服务标准、隐瞒产品风险等不正当竞争手段获取竞争优势和不合理收入，损害行业和客户利益。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第十四条会员单位开展中间业务，应不断提高各级管理者和员工的业务素质，做到诚信、勤勉、尽责和专业，并督促、培训从业人员，不断提高从业人员的业务能力、职业操守和执业水准。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第十五条会员单位应加快财务会计和管理会计体系建设，提高分产品成本核算能力，并结合我国实际，综合考虑不同类型客户的经济和心理承受能力，不断提高定价管理水平。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会员单位对实行政府定价、政府指导价项目，应严格按照相关规定据实收费；对实行市场调节价项目，由会员银行总行统一制定价格，任何分支机构不得未经总行审批授权自行制定和调整。市场调节价项目要在充分考虑成本收益基础上合理定价，并根据各自竞争策略和承受能力，慎重确定免费项目和免费期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第十七条会员单位调整和新增收费项目及收费标准，应建立较为完善的论证和决策机制，合理选择实施时机，做到审慎决策。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第十八条各会员单位开办代理保险、证券等代理类中间业务，代理网点和代理人员应按照相关规定具备开办代理业务的资格或资质。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各会员单位总行（省联社或者法人单位）应定期（原则上每年一次）根据业务发展战略及市场变化对中间业务服务价格进行梳理，对定价策略的合理性、定价标准执行的有效性进行评估，适时调整和优化价格标准及授权，清理不合理的产品价格和优惠措施。对部分市场变化快、价格敏感程度高的服务和产品，可根据市场变化进行不定期调整。</w:t>
      </w:r>
    </w:p>
    <w:p>
      <w:pPr>
        <w:spacing w:after="156" w:afterLines="50" w:line="360" w:lineRule="auto"/>
        <w:ind w:firstLine="482" w:firstLineChars="200"/>
        <w:outlineLvl w:val="0"/>
        <w:rPr>
          <w:rFonts w:cs="宋体" w:asciiTheme="majorEastAsia" w:hAnsiTheme="majorEastAsia" w:eastAsiaTheme="majorEastAsia"/>
          <w:b/>
          <w:bCs/>
        </w:rPr>
      </w:pPr>
      <w:bookmarkStart w:id="679" w:name="_Toc20028"/>
      <w:r>
        <w:rPr>
          <w:rFonts w:hint="eastAsia" w:cs="宋体" w:asciiTheme="majorEastAsia" w:hAnsiTheme="majorEastAsia" w:eastAsiaTheme="majorEastAsia"/>
          <w:b/>
          <w:bCs/>
        </w:rPr>
        <w:t>第四章信息披露</w:t>
      </w:r>
      <w:bookmarkEnd w:id="679"/>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会员单位应严格履行与客户签订的合同，在每次制定或调整中间业务价格前，应按照有关规定，向社会公示服务项目、服务内容和服务价格标准。通过营业网点、银行网站等渠道公告收费项目，方便客户查询。做到信息告知渠道多样化和服务项目功能与费用信息披露并重，尊重客户的知情权和选择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第二十一条会员单位向客户营销产品过程中，要针对产品的性质进行风险提示，对易产生风险的产品，及时将风险点告知客户，明确银行与客户之间的风险责任，不得片面强调收益，隐瞒风险点和风险责任。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第二十二条会员单位在为客户提供服务前，应明确告知相关服务价格、服务内容和方式、收费标准及方式、优惠政策等，不得强制销售其他金融产品。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第二十三条会员单位在与客户签订的服务协议中应明确具体服务项目、内容、收费形式和标准，并履行服务承诺。对财务顾问类、资金监管类等业务还应记录服务内容和服务过程，做到有据可查。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第二十四条会员单位对特定对象实行服务优惠和减费让利，应公布优惠对象、优惠政策、优惠方式和优惠幅度，切实体现扶小助弱的社会责任。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第二十五条会员单位应积极采取多种形式向公众普及相关金融知识，让社会公众了解国家相关政策及银行产品和服务的功能、内容、风险等，增强金融消费者对银行产品和服务的认知度。</w:t>
      </w:r>
    </w:p>
    <w:p>
      <w:pPr>
        <w:spacing w:after="156" w:afterLines="50" w:line="360" w:lineRule="auto"/>
        <w:ind w:firstLine="482" w:firstLineChars="200"/>
        <w:outlineLvl w:val="0"/>
        <w:rPr>
          <w:rFonts w:cs="宋体" w:asciiTheme="majorEastAsia" w:hAnsiTheme="majorEastAsia" w:eastAsiaTheme="majorEastAsia"/>
          <w:b/>
          <w:bCs/>
        </w:rPr>
      </w:pPr>
      <w:bookmarkStart w:id="680" w:name="_Toc4122"/>
      <w:r>
        <w:rPr>
          <w:rFonts w:hint="eastAsia" w:cs="宋体" w:asciiTheme="majorEastAsia" w:hAnsiTheme="majorEastAsia" w:eastAsiaTheme="majorEastAsia"/>
          <w:b/>
          <w:bCs/>
        </w:rPr>
        <w:t>第五章投诉处理</w:t>
      </w:r>
      <w:bookmarkEnd w:id="68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第二十六条会员单位应建立健全客户投诉处理制度，在投诉制度中制定处理服务收费投诉的相关规定，妥善处理客户投诉和纠纷。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第二十七条会员单位应当建立中间业务服务收费投诉全流程管理机制，明确受理程序和回复时限，准确记录投诉受理、投诉处理、结果回复及满意度回访等各环节的处理情况，保证客户投诉处理过程完整记录。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第二十八条会员单位应当公示投诉的具体途径和方法，在各营业网点和官方网站的醒目位置公布电话、网络、信函等投诉处理渠道，方便客户投诉，提高投诉处理满意度。</w:t>
      </w:r>
    </w:p>
    <w:p>
      <w:pPr>
        <w:spacing w:after="156" w:afterLines="50" w:line="360" w:lineRule="auto"/>
        <w:ind w:firstLine="482" w:firstLineChars="200"/>
        <w:outlineLvl w:val="0"/>
        <w:rPr>
          <w:rFonts w:cs="宋体" w:asciiTheme="majorEastAsia" w:hAnsiTheme="majorEastAsia" w:eastAsiaTheme="majorEastAsia"/>
          <w:b/>
          <w:bCs/>
        </w:rPr>
      </w:pPr>
      <w:bookmarkStart w:id="681" w:name="_Toc10450"/>
      <w:r>
        <w:rPr>
          <w:rFonts w:hint="eastAsia" w:cs="宋体" w:asciiTheme="majorEastAsia" w:hAnsiTheme="majorEastAsia" w:eastAsiaTheme="majorEastAsia"/>
          <w:b/>
          <w:bCs/>
        </w:rPr>
        <w:t>第六章监督检查与评价</w:t>
      </w:r>
      <w:bookmarkEnd w:id="681"/>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第二十九条会员单位开展中间业务，应自觉接受监管机构的监督检查，同时应遵守《中国银行业协会章程》和相关规定，自觉维护市场秩序。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第三十条会员单位总行应做好分支机构中间业务服务收费执行情况的监督、检查工作，及时纠正存在的问题，并严肃处理分支机构违反本办法规定的行为。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第三十一条中国银行业协会按照公平、公正、客观的原则对本办法执行情况进行检查，对银行网点和相关客户进行明察暗访，推动会员单位不断规范经营行为。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检查分定期或不定期检查、专项检查和投诉举报事项检查。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第三十二条会员单位有义务对违反本办法的行为向中国银行业协会进行举报。非会员单位违反本办法的，由中国银行业协会报中国银监会处理。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第三十三条对于会员单位违反本办法的行为，可采取内部通报、警示通知、限期整改、公开谴责、暂停行使会员权利、取消会员资格等自律管理措施，并将将有关违规情况及时向中国银行业监督管理委员会报告。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第三十四条会员单位对中国银行业协会的处理有异议的，可向中国银行业监督管理委员会反映。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第三十五条建立行业内部沟通协调机制，共同维护市场秩序，共同反映诉求，共同研究解决中间业务发展过程中出现的问题，共同提高对客户的服务水平。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第三十六条中国银行业协会积极向有关部门反映会员单位的意愿和要求，维护会员单位的合法权益。</w:t>
      </w:r>
    </w:p>
    <w:p>
      <w:pPr>
        <w:spacing w:after="156" w:afterLines="50" w:line="360" w:lineRule="auto"/>
        <w:ind w:firstLine="482" w:firstLineChars="200"/>
        <w:outlineLvl w:val="0"/>
        <w:rPr>
          <w:rFonts w:cs="宋体" w:asciiTheme="majorEastAsia" w:hAnsiTheme="majorEastAsia" w:eastAsiaTheme="majorEastAsia"/>
          <w:b/>
          <w:bCs/>
        </w:rPr>
      </w:pPr>
      <w:bookmarkStart w:id="682" w:name="_Toc994"/>
      <w:r>
        <w:rPr>
          <w:rFonts w:hint="eastAsia" w:cs="宋体" w:asciiTheme="majorEastAsia" w:hAnsiTheme="majorEastAsia" w:eastAsiaTheme="majorEastAsia"/>
          <w:b/>
          <w:bCs/>
        </w:rPr>
        <w:t>第七章附则</w:t>
      </w:r>
      <w:bookmarkEnd w:id="68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第三十七条本办法经征求各会员单位意见，由中国银行业协会中间业务联席会议审议通过，自发布之日起实施。</w:t>
      </w:r>
    </w:p>
    <w:p>
      <w:pPr>
        <w:spacing w:after="156" w:afterLines="50" w:line="360" w:lineRule="auto"/>
        <w:ind w:firstLine="480" w:firstLineChars="200"/>
        <w:rPr>
          <w:rFonts w:cs="宋体" w:asciiTheme="majorEastAsia" w:hAnsiTheme="majorEastAsia" w:eastAsiaTheme="majorEastAsia"/>
        </w:rPr>
        <w:sectPr>
          <w:endnotePr>
            <w:numFmt w:val="decimal"/>
          </w:endnotePr>
          <w:pgSz w:w="11906" w:h="16838"/>
          <w:pgMar w:top="1440" w:right="1800" w:bottom="1440" w:left="1800" w:header="851" w:footer="992" w:gutter="0"/>
          <w:cols w:space="720" w:num="1"/>
          <w:docGrid w:type="lines" w:linePitch="312" w:charSpace="0"/>
        </w:sectPr>
      </w:pPr>
      <w:r>
        <w:rPr>
          <w:rFonts w:hint="eastAsia" w:cs="宋体" w:asciiTheme="majorEastAsia" w:hAnsiTheme="majorEastAsia" w:eastAsiaTheme="majorEastAsia"/>
        </w:rPr>
        <w:t>第三十八条本办法由中国银行业协会中间业务联席会议负责解释和修订。</w:t>
      </w:r>
    </w:p>
    <w:p>
      <w:pPr>
        <w:pStyle w:val="2"/>
        <w:numPr>
          <w:ilvl w:val="0"/>
          <w:numId w:val="0"/>
        </w:numPr>
        <w:ind w:left="922" w:leftChars="0" w:hanging="440" w:firstLineChars="0"/>
      </w:pPr>
      <w:bookmarkStart w:id="683" w:name="_Toc631"/>
      <w:r>
        <w:rPr>
          <w:rFonts w:cs="宋体" w:asciiTheme="majorEastAsia" w:hAnsiTheme="majorEastAsia" w:eastAsiaTheme="majorEastAsia"/>
          <w:b/>
          <w:bCs/>
          <w:sz w:val="24"/>
          <w:szCs w:val="24"/>
          <w:lang w:val="en-US" w:eastAsia="zh-CN" w:bidi="ar-SA"/>
        </w:rPr>
        <w:t>130.</w:t>
      </w:r>
      <w:r>
        <w:rPr>
          <w:rFonts w:hint="eastAsia"/>
        </w:rPr>
        <w:t>《商业汇票业务风险防范指引》</w:t>
      </w:r>
      <w:bookmarkEnd w:id="683"/>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发文机构：中国支付清算协会</w:t>
      </w:r>
      <w:r>
        <w:rPr>
          <w:rFonts w:hint="eastAsia" w:cs="宋体" w:asciiTheme="majorEastAsia" w:hAnsiTheme="majorEastAsia" w:eastAsiaTheme="majorEastAsia"/>
        </w:rPr>
        <w:tab/>
      </w:r>
      <w:r>
        <w:rPr>
          <w:rFonts w:hint="eastAsia" w:cs="宋体" w:asciiTheme="majorEastAsia" w:hAnsiTheme="majorEastAsia" w:eastAsiaTheme="majorEastAsia"/>
        </w:rPr>
        <w:t>文号：中支协发〔2014〕40号</w:t>
      </w:r>
      <w:r>
        <w:rPr>
          <w:rFonts w:hint="eastAsia" w:cs="宋体" w:asciiTheme="majorEastAsia" w:hAnsiTheme="majorEastAsia" w:eastAsiaTheme="majorEastAsia"/>
        </w:rPr>
        <w:tab/>
      </w:r>
    </w:p>
    <w:p>
      <w:pPr>
        <w:spacing w:after="156" w:afterLines="50" w:line="360" w:lineRule="auto"/>
        <w:ind w:firstLine="482" w:firstLineChars="200"/>
        <w:rPr>
          <w:rFonts w:cs="宋体" w:asciiTheme="majorEastAsia" w:hAnsiTheme="majorEastAsia" w:eastAsiaTheme="majorEastAsia"/>
          <w:b/>
          <w:bCs/>
        </w:rPr>
      </w:pPr>
      <w:r>
        <w:rPr>
          <w:rFonts w:hint="eastAsia" w:cs="宋体" w:asciiTheme="majorEastAsia" w:hAnsiTheme="majorEastAsia" w:eastAsiaTheme="majorEastAsia"/>
          <w:b/>
          <w:bCs/>
        </w:rPr>
        <w:t>总则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第一条为提高成员单位商业汇票业务风险管理水平，有效防控商业汇票业务风险，促进商业汇票业务稳健发展，根据国家有关法律法规及相关规定，制定本指引。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第二条本指引所称商业汇票，包括商业承兑汇票和银行承兑汇票。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第三条本指引所称商业汇票业务风险是指成员单位在开展商业汇票业务活动中，遭受负面影响和损害的可能性，主要包括信用风险、市场风险和操作风险等。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第四条本指引所称商业汇票业务风险防范是指成员单位在开展商业汇票业务时，通过风险识别、评估、监测和控制/缓释等方式，对商业汇票业务风险实施有效管理的过程。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第五条银行业金融机构成员单位开展纸质商业汇票业务应遵循本指引。</w:t>
      </w:r>
    </w:p>
    <w:p>
      <w:pPr>
        <w:spacing w:after="156" w:afterLines="50" w:line="360" w:lineRule="auto"/>
        <w:ind w:firstLine="482" w:firstLineChars="200"/>
        <w:outlineLvl w:val="0"/>
        <w:rPr>
          <w:rFonts w:cs="宋体" w:asciiTheme="majorEastAsia" w:hAnsiTheme="majorEastAsia" w:eastAsiaTheme="majorEastAsia"/>
          <w:b/>
          <w:bCs/>
        </w:rPr>
      </w:pPr>
      <w:bookmarkStart w:id="684" w:name="_Toc6426"/>
      <w:r>
        <w:rPr>
          <w:rFonts w:hint="eastAsia" w:cs="宋体" w:asciiTheme="majorEastAsia" w:hAnsiTheme="majorEastAsia" w:eastAsiaTheme="majorEastAsia"/>
          <w:b/>
          <w:bCs/>
        </w:rPr>
        <w:t>第二章承兑风险及防范</w:t>
      </w:r>
      <w:bookmarkEnd w:id="68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第六条本指引所称承兑是指成员单位作为银行承兑汇票付款人，承诺在汇票到期日支付汇票金额的票据行为。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第七条承兑风险包括出票人信用风险、虚假交易背景风险、担保措施悬空风险、空白银行承兑汇票管理风险和操作风险。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第八条出票人信用风险是指因出票企业在承兑汇票到期后无力支付票款或故意拖延付款，致使成员单位可能发生损失的风险。风险防范措施：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认真审核出票人基础资料的真实性、完整性和合规性，深入调查并合理分析出票人生产经营情况、上下游客户结构、市场竞争力、货币回笼情况、存货及应收账款周转情况、负债水平以及收入、利润、现金流量的合理性和变动趋势，判断客户生产经营是否正常，是否具有较强的偿付意愿和偿付能力。</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（二）综合运用人民银行征信系统及其他相关系统，多种途径了解出票人在行业中的信誉及履约状况，确定出票人具有良好的还款意愿，把好客户准入资质关。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（三）加强出票人统一授信管理，科学核定出票人承兑业务授信规模，防止超过出票人授信限额办理承兑业务。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加强对出票人货款回笼、财务及对外投资等情况的追踪管理，重点关注即将到期的银行承兑汇票，及时监控出票人存款账户及余额变动情况，发现出票人有故意拖延付款等问题的，应依照承兑协议的约定，采取从出票人存款账户扣划等措施，确保按期收回款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第九条虚假交易背景风险是指因出票人通过签订虚假交易合同、提供虚假发票等资料，套取银行信用，导致成员单位可能发生损失的风险。风险防范措施：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（一）调查分析客户办理承兑业务的真实需求，承兑总量应与企业交易总量和结算需求基本一致，所签交易合同符合其经营能力和经营规律。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加强交易合同原件的审查，重点审查交易合同要素是否齐全，有无提供虚假合同、过期失效合同或重复提供合同等，确保交易真实、合法。要求出票人在承兑申请时或承兑后的规定时限内提交增值税发票原件，有条件的应通过税务系统查询增值税发票信息，核实发票真伪，防止利用增值税发票重复出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严格审查和控制关联方开票，除按照本条（二）的要求进行审查外，还应对票据申请人和收款人的关联关系进行审核，审查商品价格是否为市场公允价格，必要时可要求票据申请人提供合同项下货运单据、入库单等补充资料，防范不符合正常交易逻辑的关联方开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（四）加强贸易背景真实性的事后评估，密切关注出票人开立承兑汇票对应交易合同执行情况，必要时可延伸至对票据背书、流转过程等信息的综合分析，确保贸易背景真实。</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第十条担保措施悬空风险是指在银行承兑汇票第一还款来源出现问题时，因出票人提供的担保措施不到位或无效，导致成员单位作为承兑银行可能发生损失的风险。风险防范措施：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（一）在办理银行承兑汇票业务时，应按客户信用等级和信贷管理规定收取一定比例的保证金，保证金收妥后方可办理出票，不得逆程序操作。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不得以贷款缴存保证金，不得将贴现资金作为保证金滚动签发银行承兑汇票。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（二）保证金专户应实行封闭管理，用于支付对应到期的银行承兑汇票。杜绝发生保证金专户与客户结算户串用、各子账户之间相互挪用等行为，未经审批不得擅自提前支取保证金。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（三）未足额缴存保证金的，不足部分应要求出票人提供合法、有效的质押、抵押或第三方保证（符合免担保授信的客户除外）。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1.应合理评估抵质押担保物价值和变现能力，做好抵质押登记相关工作，确保抵质押担保真实、有效。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2.应谨慎采取第三方保证作为担保方式，合理评估保证人的担保能力，重点关注关联担保或企业相互担保。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第十一条空白银行承兑汇票管理风险是指成员单位因管理不善造成空白银行承兑汇票发生遗失、毁损、盗用、冒用的风险。风险防范措施参见本指引第七章第四十三条、第四十四条。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第十二条操作风险是指因成员单位办理承兑业务时，因未按制度流程操作，导致可能发生损失的风险。风险防范措施：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（一）严格控制审批权限，防止无授权或违规越权办理银行承兑汇票。有条件的成员单位应通过业务系统实现授权的刚性控制。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（二）建立严密、规范的内部控制体系，承兑业务流程实行分权控制，各部门、各岗位之间应做到权责明确、相互独立、相互制约。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（三）办理业务过程中，应加强对构成支付要素的“印、押、证”的管理和使用。</w:t>
      </w:r>
    </w:p>
    <w:p>
      <w:pPr>
        <w:spacing w:after="156" w:afterLines="50" w:line="360" w:lineRule="auto"/>
        <w:ind w:firstLine="482" w:firstLineChars="200"/>
        <w:outlineLvl w:val="0"/>
        <w:rPr>
          <w:rFonts w:cs="宋体" w:asciiTheme="majorEastAsia" w:hAnsiTheme="majorEastAsia" w:eastAsiaTheme="majorEastAsia"/>
          <w:b/>
          <w:bCs/>
        </w:rPr>
      </w:pPr>
      <w:bookmarkStart w:id="685" w:name="_Toc6394"/>
      <w:r>
        <w:rPr>
          <w:rFonts w:hint="eastAsia" w:cs="宋体" w:asciiTheme="majorEastAsia" w:hAnsiTheme="majorEastAsia" w:eastAsiaTheme="majorEastAsia"/>
          <w:b/>
          <w:bCs/>
        </w:rPr>
        <w:t>第三章质押风险及防范</w:t>
      </w:r>
      <w:bookmarkEnd w:id="68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本指引所称质押是指为了向成员单位取得融资，作为持票人的债务人或第三方将合法持有的商业汇票作为质物，与成员单位设立质权。如遇债务人不能履行债务时，成员单位作为债权人有权依据有关法律规定，处置质押票据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第十四条质押风险包括出质人信用风险、伪假票据风险、承兑人信用风险和操作风险。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第十五条出质人信用风险是指因出质人信用状况出现问题，到期无法落实质权，导致成员单位可能发生损失的风险。风险防范措施：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（一）制定准入标准，核实申请人是否符合本机构的准入条件。通过人民银行征信系统查询申请人的信用状况，严格质押申请人资格审查。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（二）严格审查质押申请人提供的营业执照、贷款卡、授权书及各项资质证明，确保其真实、有效。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（三）严格审查客户提交的质押票据所对应的商品或劳务合同、增值税发票或其他税务发票等证明交易背景真实性的跟单资料，确保用于质押的商业汇票系真实合法取得。</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（四）分析质押申请人业务需求是否符合其经营能力和经营规律，确保质押融资取得的资金去向合规。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第十六条伪假票据风险及防范措施参见本指引第九章第五十一条。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第十七条承兑人信用风险是指因承兑人故意拖延支付、无理拒付或由于自身经营状况发生变化、无力付款等，导致成员单位可能发生损失的风险。风险防范措施：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审核承兑人市场经营及信用情况，通过调查承兑人的生产经营情况、财务数据、资信状况等信息，客观评价其经营及信用水平。对经营业绩较差、管理不严格、操作不规范、信用等级较低的承兑人不予准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（二）严格统一授信管理。成员单位应遵循本机构整体信用风险管理政策和原则，根据承兑人的具体情况，制定满足风险控制要求的授信管理模式，避免质押没有取得授信额度的商业汇票。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第十八条操作风险是指成员单位办理票据质押业务时，因未按制度与流程操作，造成质权无效，导致可能发生损失的风险。风险防范措施：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（一）严格对拟办理质押的票据原件进行审验，确认票据真实，票面要素齐全，记载事项准确，签章规范，未超过提示付款期限，未记载“不得转让”字样、无“委托收款”字样，背书连续、粘单使用正确。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（二）对拟质押票据进行查询，核实汇票的真实性、他行是否已办理查询或贴现、是否已办理挂失止付等事项；对金额较大或存疑的，应要求传真底卡联核对或进行实地查询、验票。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（三）认真履行质押手续，确保满足票据质押的生效条件。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1.应以书面形式订立质押合同。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2.应在质押票据上记载“质押”字样。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3.出质人（背书人）须在票据上的背书人位置上签章。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4.票据质押的出质人应当在双方约定的期限内将票据交付质权人。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（四）设立专门的台账，指定专人关注质押票据的到期情况，及时办理已到期票据的托收。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（五）对于质押票据到期日先于借款到期日的，质押票据的回款资金应直接转入对应的保证金账户或其他约定账户，并在质押合同的相应条款中作出明确约定，避免质押悬空。</w:t>
      </w:r>
    </w:p>
    <w:p>
      <w:pPr>
        <w:spacing w:after="156" w:afterLines="50" w:line="360" w:lineRule="auto"/>
        <w:ind w:firstLine="482" w:firstLineChars="200"/>
        <w:outlineLvl w:val="0"/>
        <w:rPr>
          <w:rFonts w:cs="宋体" w:asciiTheme="majorEastAsia" w:hAnsiTheme="majorEastAsia" w:eastAsiaTheme="majorEastAsia"/>
          <w:b/>
          <w:bCs/>
        </w:rPr>
      </w:pPr>
      <w:bookmarkStart w:id="686" w:name="_Toc7469"/>
      <w:r>
        <w:rPr>
          <w:rFonts w:hint="eastAsia" w:cs="宋体" w:asciiTheme="majorEastAsia" w:hAnsiTheme="majorEastAsia" w:eastAsiaTheme="majorEastAsia"/>
          <w:b/>
          <w:bCs/>
        </w:rPr>
        <w:t>第四章贴现风险及防范</w:t>
      </w:r>
      <w:bookmarkEnd w:id="68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第十九条本指引所称贴现是指商业汇票的持票人在汇票到期日前，为了提前取得资金，贴付一定利息将票据权利转让给成员单位的票据行为。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第二十条贴现风险包括虚假交易背景风险、伪假票据风险、承兑人信用风险、拒绝付款风险、操作风险和资金流向风险。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第二十一条虚假交易背景风险是指因贴现申请人签订虚假交易合同、提供虚假发票等材料，套取贴现银行信用，导致成员单位可能发生损失的风险。风险防范措施：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贴现申请人资格审查。审核贴现申请人的营业执照、组织机构代码证和税务登记证是否有效，判断贴现申请人是否是真实法人或具有法人授权经营的资格；通过人民银行征信系统查询贴现申请人的企业概况和信用状况，查询贷款卡状态是否正常，并符合成员单位制定的各项准入条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交易合同原件的审查。分析贴现申请人是否具有办理贴现业务的真实需求，所签交易合同是否符合其经营能力和经营规律，交易合同要素是否齐全，有无提供虚假合同、过期失效合同或重复提供合同，确保交易真实、合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相关跟单资料审查。严格审查贴现申请人提交的发票复印件是否与原件一致，是否足以证明拟贴现票据具有真实交易背景，确认发票与交易合同、商业汇票之间存在合理的逻辑关系。加强对增值税发票审查，有条件的成员单位应通过税务系统、人民银行相关信息系统查询增值税发票信息，及时掌握增值税发票是否已在其他商业汇票业务中使用，防止同一张发票重复贴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第二十二条伪假票据风险及防范措施参见本指引第九章第五十一条。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第二十三条承兑人信用风险及防范措施参见本指引第三章第十七条。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第二十四条拒绝付款风险是指贴现票据到期，承兑人或付款人拒绝付款，导致成员单位可能发生损失的风险。风险防范措施：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贴现票据到期，承兑人或付款人明确拒绝付款的，持票行应自收到被拒绝付款的相关证明之日起，在法律规定的有效期内向直接前手及其他前手行使追索权，追索的内容包括拒付的票款、赔付利息及催收费用等。处理无果的，应及时转入不良资产清收程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第二十五条操作风险是指成员单位办理贴现业务时，因未能按制度流程操作、导致可能发生损失的风险。风险防范措施：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（一）业务办理过程中应明确各部门、各岗位职责，严格按照规定流程处理各业务环节。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严格对拟贴现的商业汇票原件进行审验，确认票据真实，票面要素齐全，记载事项准确，签章规范，未超过提示付款期限，未记载“不得转让”、“质押”字样、无“委托收款”字样，背书连续、粘单使用正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（三）办理票据贴现前，应向银行承兑汇票承兑行、商业承兑汇票承兑人或其开户行办理票据查询，查询的内容包括但不限于：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1.汇票票面要素是否与底卡联要素相符。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2.他行是否已向承兑行或承兑人办理过查询。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3.有无挂失止付、公示催告或被司法机关冻结等情形。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（四）以书面形式与贴现申请人签订商业汇票贴现业务合同。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（五）规范贴现买入票据的交接登记。制定交接登记制度，建立交接登记簿，详细记录各环节交接情况，严密交接手续。</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（六）加强对业务处理流程的监督和控制，严防未查验即收妥票据先行划付贴现资金等逆流程操作。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第二十六条资金流向风险是指成员单位因未有效落实资金流向监控，导致贴现资金不合规使用的风险。风险防范措施：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有条件的成员单位应建立相关系统有效监控贴现资金的流向，防止贴现资金直接进入股市、直接回流出票人账户。</w:t>
      </w:r>
    </w:p>
    <w:p>
      <w:pPr>
        <w:spacing w:after="156" w:afterLines="50" w:line="360" w:lineRule="auto"/>
        <w:ind w:firstLine="482" w:firstLineChars="200"/>
        <w:outlineLvl w:val="0"/>
        <w:rPr>
          <w:rFonts w:cs="宋体" w:asciiTheme="majorEastAsia" w:hAnsiTheme="majorEastAsia" w:eastAsiaTheme="majorEastAsia"/>
          <w:b/>
          <w:bCs/>
        </w:rPr>
      </w:pPr>
      <w:bookmarkStart w:id="687" w:name="_Toc22415"/>
      <w:r>
        <w:rPr>
          <w:rFonts w:hint="eastAsia" w:cs="宋体" w:asciiTheme="majorEastAsia" w:hAnsiTheme="majorEastAsia" w:eastAsiaTheme="majorEastAsia"/>
          <w:b/>
          <w:bCs/>
        </w:rPr>
        <w:t>第五章转贴现风险及防范</w:t>
      </w:r>
      <w:bookmarkEnd w:id="68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第二十七条本指引所称转贴现是指成员单位之间或成员单位与其他金融机构之间为了融通资金，以未到期的已贴现商业汇票为交易工具，进行相互买卖的融资行为，包括买断式转贴现和回购式转贴现。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第二十八条转贴现风险包括交易对手信用风险、承兑人信用风险、伪假票据风险、操作风险和市场风险。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第二十九条交易对手信用风险是指因交易对手自身经营状况恶化或恶意违约，导致成员单位可能发生损失的风险。风险防范措施：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严格审查交易对手的资质类文件和跟单交易资料。确保交易对手为经国务院金融管理部门批准、具有票据业务经营资格的金融机构。需审查的资料包括但不限于有效的营业执照、组织机构代码证、金融许可证复印件并加盖交易对手公章；未到期的商业汇票原件及复印件、已办理贴现（或转贴现）的业务凭证复印件、商业汇票查询查复书复印件；法定代表人或主要负责人身份证复印件，经办人员身份证原件和委托书（或介绍信）原件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（二）将买入返售业务的交易对手纳入全行统一授信管理。审慎选择内部管理规范、履约诚信度高、资金运作稳健的交易对手开展业务。对于未能按期或足额回购的违约卖出回购方，应控制与其发生新业务。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第三十条承兑人信用风险及防范措施参见本指引第三章第十七条。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第三十一条伪假票据风险及防范措施参见本指引第九章第五十一条。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第三十二条操作风险是指成员单位在办理转贴现业务时，因未能按照制度流程规范操作，导致可能发生损失的风险。风险防范措施：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严格对拟办理转贴现的票据原件进行审验，确认票据真实，票面要素齐全、记载事项准确，签章规范，未超过提示付款期限，未记载“不得转让”、“质押”字样、无“委托收款”字样，背书连续、粘单使用正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（二）以书面形式签订商业汇票转贴现交易合同，审查双方转贴现合同与交易内容是否一致。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（三）交易双方应依据合同约定及时完成资金划转与票据交付，确保资金给付与票据交割基本同步完成。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（四）回购业务到期日前，交易双方均不应做出除追索、法律保全以及双方协商提前结束回购业务外的其他票据行为，双方另有约定的除外。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票据转贴现、买入返售、卖出回购资金应由票据转入行将资金划入票据转出行在人民银行开立的存款准备金账户，或票据转出行在本行开立的专用存款账户，不得转入票据转出行在他行开立的账户，防止随意开户和资金体外循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三条市场风险是指因商业汇票承兑人信用状况出现问题造成汇票在市场流通中受阻或因宏观经济政策、市场环境的变化，导致票据市场价格波动，使成员单位可能发生损失的风险，主要包括流动性风险和利率风险。风险防范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（一）密切关注承兑人信用状况变动情况，杜绝承兑人信用状况恶化的商业汇票进入交易，控制信用等级较低的商业汇票在库存中的比例。强调风险收益匹配原则，并根据市场情况动态调整。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（二）根据本机构的资产负债结构、经营管理需要和风险控制要求，科学制定利率风险管理措施；密切关注利率变化，降低利率波动带来的风险。</w:t>
      </w:r>
    </w:p>
    <w:p>
      <w:pPr>
        <w:spacing w:after="156" w:afterLines="50" w:line="360" w:lineRule="auto"/>
        <w:ind w:firstLine="482" w:firstLineChars="200"/>
        <w:outlineLvl w:val="0"/>
        <w:rPr>
          <w:rFonts w:cs="宋体" w:asciiTheme="majorEastAsia" w:hAnsiTheme="majorEastAsia" w:eastAsiaTheme="majorEastAsia"/>
          <w:b/>
          <w:bCs/>
        </w:rPr>
      </w:pPr>
      <w:bookmarkStart w:id="688" w:name="_Toc7209"/>
      <w:r>
        <w:rPr>
          <w:rFonts w:hint="eastAsia" w:cs="宋体" w:asciiTheme="majorEastAsia" w:hAnsiTheme="majorEastAsia" w:eastAsiaTheme="majorEastAsia"/>
          <w:b/>
          <w:bCs/>
        </w:rPr>
        <w:t>第六章托收付款风险及防范</w:t>
      </w:r>
      <w:bookmarkEnd w:id="688"/>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第三十四条本指引所称托收付款是指成员单位按照收款人委托（或成员单位自身）以其持有的商业汇票向付款人收取票款、以及成员单位作为付款人依据审核无误的商业汇票向持票人划付票款的过程。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第三十五条托收付款风险包括伪假票据风险、凭证审核风险、超期提示付款风险、托收在途风险、延迟付款或被拒付退票风险。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第三十六条伪假票据风险及防范措施参见本指引第九章第五十一条。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第三十七条凭证审核风险是指成员单位因对商业汇票或托收凭证审验不到位，导致托收款项不能按期收回或错误解付的风险。风险防范措施：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成员单位作为托收行发出托收时应严格审核待托收的票据原件，确保票据真实，票面要素齐全，记载事项准确，签章规范，未超过提示付款期限，背书连续、依法记载被背书人名称、“委托收款”字样以及背书人的签章。成员单位应妥善制作托收凭证，确保托收凭证记载事项与票据记载事项相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（二）对票面存在瑕疵的商业汇票，成员单位作为托收行应在发出托收前及时与相关责任单位联系，要求其提供承担瑕疵票据责任的完备手续，并与付款人确认相关手续的有效性，以确保能够足额按时收回票款。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（三）成员单位应建立托收登记制度，详细记录发出和收到托收票据等信息，并留存相关资料。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（四）成员单位作为付款行收到托收行寄来的托收凭证及商业汇票，应认真审核各要素是否真实、完整；银行承兑汇票还应与留底资料核对是否一致，商业承兑汇票还应核验出票人签章与预留银行印鉴是否一致。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第三十八条超期提示付款风险是指成员单位因未能在规定期限内发出托收或持票人因未能在提示付款期提示付款，导致款项不能按时收回的风险。风险防范措施：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（一）对于持有的未到期的贴现、转贴现、质押票据，成员单位应及时查看库存票据，及时办理托收手续，避免票据超过提示付款期限。付款人在异地的，成员单位应匡算邮程，提前发出托收。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（二）超过提示付款期提示付款的，持票人应联系承兑人或付款人并按要求向其提供正式说明后，办理付款手续。</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第三十九条托收在途风险是指成员单位办理商业汇票到期托收时，因传递、交接手续不严密，导致可能发生商业汇票遗失、灭失或毁损的风险。风险防范措施：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（一）制定与持票人及成员单位部门之间的票据交接登记制度，认真做好各类票据的出入库及交接登记工作。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（二）明确与邮递单位的权利和义务，选派专人负责与邮局的交接工作，及时跟踪邮递情况，确保托收凭证传递无误。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托收过程中发生票据遗失、灭失或毁损的，发出托收行与付款人应及时协商并通知持票人办理挂失止付及相关法律手续；同时应与邮递单位联系，查询邮递交接登记簿及邮寄凭证，若系邮递差错造成的，应责成邮递单位查找并出具相关证明。协商无果的，应转入法律诉讼程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第四十条延迟付款或被拒付退票风险是指商业汇票到期托收后，因延迟付款、拒付退票而导致持票人可能发生款项不能按期划回或资金损失的风险。风险防范措施：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（一）对于延迟付款的，成员单位作为托收行应及时联系付款人，确认是否收到票据，是否承诺付款。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（二）对于无正当理由拖延付款的，应向付款人发出催收函，协商无果的，应及时转入法律诉讼程序。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付款人明确拒绝付款的，成员单位作为持票人应自收到被拒绝付款的相关证明之日起，在法律规定的有效期内向直接前手及其他前手行使追索权。追索的内容包括拒付的票款、赔付利息及催收费用等。处理无果的，应转入不良资产清收程序。</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（四）成员单位收到付款人退回的汇票及退票理由书、未付票款通知或拒绝付款证明时，应对被拒绝付款事由进行审查。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1.对于因票据瑕疵或延迟托收等引起退票的，发出托收行应及时联系托收单位并与付款人确认后出具相关说明，再次发出托收。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2.若为无理退票或拒付的，应联系付款人重新托收，联系无效的，应及时转入法律诉讼程序。</w:t>
      </w:r>
    </w:p>
    <w:p>
      <w:pPr>
        <w:spacing w:after="156" w:afterLines="50" w:line="360" w:lineRule="auto"/>
        <w:ind w:firstLine="482" w:firstLineChars="200"/>
        <w:outlineLvl w:val="0"/>
        <w:rPr>
          <w:rFonts w:cs="宋体" w:asciiTheme="majorEastAsia" w:hAnsiTheme="majorEastAsia" w:eastAsiaTheme="majorEastAsia"/>
          <w:b/>
          <w:bCs/>
        </w:rPr>
      </w:pPr>
      <w:bookmarkStart w:id="689" w:name="_Toc22792"/>
      <w:r>
        <w:rPr>
          <w:rFonts w:hint="eastAsia" w:cs="宋体" w:asciiTheme="majorEastAsia" w:hAnsiTheme="majorEastAsia" w:eastAsiaTheme="majorEastAsia"/>
          <w:b/>
          <w:bCs/>
        </w:rPr>
        <w:t>第七章重要空白凭证、票据及业务印章风险及防范</w:t>
      </w:r>
      <w:bookmarkEnd w:id="689"/>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第四十一条本章节所称重要空白凭证是指成员单位已入库但尚未使用的空白商业汇票凭证。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本章节所称票据是指成员单位贴现、转贴现买入和因票据质押作为质物持有的商业汇票。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本章节所称业务印章是指汇票专用章和结算专用章。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第四十二条重要空白凭证、票据及业务印章风险主要包括重要空白凭证、票据保管不规范风险，重要空白凭证被冒用或盗用风险和业务印章使用管理风险。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第四十三条重要空白凭证、票据保管不规范风险是指成员单位因对重要空白凭证及票据交接、保管不规范导致可能发生损失的风险。风险防范措施：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（一）严格执行重要空白凭证“统一格式、集中印制、分级管理、专人保管、明细登记、严格核销”的管理规定。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（二）设置重要空白凭证、票据保管库，保管库须具备防水、防火、防盗、防潮、防蛀等条件，并配备视频监控等安全设施。每日终了，重要空白凭证、票据应入库保管。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（三）制定交接登记制度，严密交接手续，重要空白凭证、票据出库入库、上缴、调拨须如实登记并做好交接签收手续，交接过程应双人办理。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（四）建立查库制度，落实重要空白凭证、票据的定期查库制度，加强实物票据与库存信息的核对，确保账实相符。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第四十四条重要空白凭证被冒用或盗用风险是指成员单位因在重要空白凭证出售、领用、使用、作废等环节操作不规范、不严密，导致被冒领或作废凭证未及时处理被移作他用等风险。风险防范措施：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建立重要空白凭证出售审核制度，根据业务审批手续向客户出售重要空白凭证，银行承兑汇票的出售数量应与业务审批结果及承兑协议所定数量相同。应按份出售商业承兑汇票，出售凭证上的签章应与银行预留印鉴核验相符。重要空白凭证不得预先加盖业务印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（二）制定重要空白凭证的领用标准，实行领用登记和使用销号制度。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（三）重要空白凭证出入库、调拨、上缴应如实登记并做好交接签收手续。</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（四）加强作废重要空白凭证的管理，作废的凭证应及时销号，加盖“作废”戳记并做剪角处理。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（五）定期对商业汇票的领用、出售、收回、销毁情况进行检查，确保账实相符。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第四十五条业务印章使用管理风险是指成员单位对业务印章保管使用不当，造成业务印章丢失、被盗用或错盖、漏盖等风险。风险防范措施：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（一）加强业务印章刻制管理。成员单位应指定业务印章管理部门，刻制业务印章应履行必要的审批流程，并选择经公安部门核准的具有相关资质的厂家刻制。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（二）成员单位应建立业务印章保管登记制度，详细记录印模及刻制、启用、领取和上交等情况，业务印章申领时应严格落实“双人领取”的原则。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（三）业务印章应专人保管、专人使用、专人负责。保管人员发生变更，应办理交接手续。营业终了，业务印章应存放在有一定安全措施的保险柜或铁皮柜内，不得随意放置。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（四）业务印章与重要空白凭证的保管使用应严格贯彻分管分用制度，严禁重要空白凭证管理人员与业务印章保管人员兼任。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（五）停用、作废业务印章应及时上缴进行集中处理。</w:t>
      </w:r>
    </w:p>
    <w:p>
      <w:pPr>
        <w:spacing w:after="156" w:afterLines="50" w:line="360" w:lineRule="auto"/>
        <w:ind w:firstLine="482" w:firstLineChars="200"/>
        <w:outlineLvl w:val="0"/>
        <w:rPr>
          <w:rFonts w:cs="宋体" w:asciiTheme="majorEastAsia" w:hAnsiTheme="majorEastAsia" w:eastAsiaTheme="majorEastAsia"/>
          <w:b/>
          <w:bCs/>
        </w:rPr>
      </w:pPr>
      <w:bookmarkStart w:id="690" w:name="_Toc4242"/>
      <w:r>
        <w:rPr>
          <w:rFonts w:hint="eastAsia" w:cs="宋体" w:asciiTheme="majorEastAsia" w:hAnsiTheme="majorEastAsia" w:eastAsiaTheme="majorEastAsia"/>
          <w:b/>
          <w:bCs/>
        </w:rPr>
        <w:t>第八章票据权利保全及措施</w:t>
      </w:r>
      <w:bookmarkEnd w:id="69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第四十六条本指引所称票据权利保全是指成员单位作为持票人为避免合法持有的贴现、转贴现和质押票据因丧失、被公示催告、被冻结等情形，导致票据权利受到损害所采取的合法、有效的保护措施。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第四十七条票据权利保全主要包括对商业汇票丧失、商业汇票被公示催告和商业汇票被冻结止付的权利保全。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第四十八条成员单位持有的商业汇票丧失的，应及时通知付款人挂失止付，挂失止付后3日内或在票据丧失后，应依法向人民法院申请公示催告，或向人民法院提起诉讼。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第四十九条商业汇票被公示催告的风险防范措施：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（一）成员单位应及时收集、分析公示催告信息，防范恶意欺诈风险。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贴现、转贴现买入的商业汇票被公示催告的、应主张票据权利。成员单位作为持票人应按要求准备相关权利证明，如商业汇票原件和正反面复印件及取得票据的相关证据，包括交易合同、清单等资料向法院申报权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买入返售的票据被公示催告的，应通知卖出回购行汇票已发生风险，尽早采取保全措施，落实票据权利。要求卖出回购行更换等额汇票或提前赎回该张汇票。票据落实权利后，应将汇票退还交易对手，由其主张权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（四）质押的票据被公示催告的，应按要求向法院申报权利，同时应按照质押合同约定，要求债务人更换质物或提前归还借款。协商无果的，可采取法律诉讼手段。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第五十条商业汇票被冻结止付的风险防范措施：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（一）向做出止付决定的有权机关提出是“善意取得”的票据持有人，即无恶意或重大过失取得票据，并依法向付款人请求支付票据金额。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（二）向人民法院申请，解除对已承兑或付款的银行承兑汇票保证金相应部分的冻结。</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（三）利用法律诉讼手段解决票据纠纷。如遇已合理买入的票据因冻结止付不能兑付的，成员单位可行使诉讼权利，要求付款人履行票据付款义务、承担支付责任、赔偿逾期付款的利息及直接经济损失。</w:t>
      </w:r>
    </w:p>
    <w:p>
      <w:pPr>
        <w:spacing w:after="156" w:afterLines="50" w:line="360" w:lineRule="auto"/>
        <w:ind w:firstLine="482" w:firstLineChars="200"/>
        <w:outlineLvl w:val="0"/>
        <w:rPr>
          <w:rFonts w:cs="宋体" w:asciiTheme="majorEastAsia" w:hAnsiTheme="majorEastAsia" w:eastAsiaTheme="majorEastAsia"/>
          <w:b/>
          <w:bCs/>
        </w:rPr>
      </w:pPr>
      <w:bookmarkStart w:id="691" w:name="_Toc13552"/>
      <w:r>
        <w:rPr>
          <w:rFonts w:hint="eastAsia" w:cs="宋体" w:asciiTheme="majorEastAsia" w:hAnsiTheme="majorEastAsia" w:eastAsiaTheme="majorEastAsia"/>
          <w:b/>
          <w:bCs/>
        </w:rPr>
        <w:t>第九章伪假票据风险防范</w:t>
      </w:r>
      <w:bookmarkEnd w:id="691"/>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第五十一条伪假票据风险是指成员单位在办理业务时，因审验人员未能识别、鉴定伪造及变造商业汇票，导致可能发生损失的风险。风险防范措施：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（一）加强票据审验，严格执行双人验票制度，通过人工鉴别及专业设备相结合的手段对票据真伪进行鉴别，必要时可通过专业机构对票据真伪进行鉴别。</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商业汇票票据的鉴别可采取触摸、查看、光照、对比等方法进行，审查和鉴别的内容包括但不限于：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1.商业汇票应由指定的印制厂家印制。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2.商业汇票的纸张坚韧，不起毛，无断裂，紫外光下纸张无荧光反应，透光下可见满版梅花、古钱币和波浪线组成的黑白水印。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3.商业汇票的纸张中随机分布有无色荧光纤维丝，白光下肉眼不可见，紫外光下可见有红、蓝两种荧光。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4.商业汇票的主题兰花图案和票据号码处的花边底纹均为无色荧光油墨印制，紫外光下呈绿色。</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5.商业汇票的安全线为全埋式安全线，安全线中有微缩字母“PJ”，透光下安全线连续无间断，红外光下呈黑白间断效果。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6.商业汇票的票面安全底纹清晰；大写金额红水线栏为水溶性荧光油墨印制，紫外光下呈红色荧光反应。</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7.商业汇票号码区域的上排票据号码在红外光下有消色现象，下排票据号码采用渗透性油墨印制，号码的正面为棕黑色，背面有红色渗透效果。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8.日期、大小写金额、收款人名称、票号、密押等处不能有涂改痕迹，借助放大镜、红外光、紫外光成像仪观察票据金额、日期、汇票号码区域纸质是否有刮擦、涂改等异常现象。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9.汇票专用章应加盖清晰，贴现、转贴现买入系统内银行承兑汇票时，有条件的成员单位应使用印模核对汇票专用章。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10.对有疑点的汇票，可使用专用鉴别仪器，按照票据审验流程进行仔细审验，以有效鉴别票据真伪。</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认真执行查询查复制度，通过人民银行大额支付系统、成员单位内部系统等途径向承兑银行核实汇票信息的真实性、他行是否已办理查询或贴现、是否已办理挂失止付等事项；对金额较大或存疑的，应要求承兑行传真底卡联或组织专业人员进行实地查询、验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成员单位应加强对票据的防伪技能培训，密切关注票据欺诈风险动向，及时做好对票据经营机构的风险提示工作，使业务人员及时掌握伪假票据的新特征，不断提高业务人员的票据防伪知识和票据识别能力。</w:t>
      </w:r>
    </w:p>
    <w:p>
      <w:pPr>
        <w:spacing w:after="156" w:afterLines="50" w:line="360" w:lineRule="auto"/>
        <w:ind w:firstLine="482" w:firstLineChars="200"/>
        <w:outlineLvl w:val="0"/>
        <w:rPr>
          <w:rFonts w:cs="宋体" w:asciiTheme="majorEastAsia" w:hAnsiTheme="majorEastAsia" w:eastAsiaTheme="majorEastAsia"/>
          <w:b/>
          <w:bCs/>
        </w:rPr>
      </w:pPr>
      <w:bookmarkStart w:id="692" w:name="_Toc26260"/>
      <w:r>
        <w:rPr>
          <w:rFonts w:hint="eastAsia" w:cs="宋体" w:asciiTheme="majorEastAsia" w:hAnsiTheme="majorEastAsia" w:eastAsiaTheme="majorEastAsia"/>
          <w:b/>
          <w:bCs/>
        </w:rPr>
        <w:t>第十章纪律与责任</w:t>
      </w:r>
      <w:bookmarkEnd w:id="69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第五十二条成员单位开展商业汇票业务应参照本指引落实风险管理措施，积极防范业务风险；建立风险预警名单制度，将存在多次拖延支付、无理拒付等情况的交易对手纳入预警名单。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第五十三条中国支付清算协会票据工作委员会应协调成员单位做好商业汇票风险管理工作，并将其纳入自律监督检查内容。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第五十四条成员单位因管理不善或未有效落实本指引而发生重大风险事件、对行业造成负面影响的，将依据《中国支付清算协会票据行业自律公约》有关自律性惩戒措施进行处理。</w:t>
      </w:r>
    </w:p>
    <w:p>
      <w:pPr>
        <w:spacing w:after="156" w:afterLines="50" w:line="360" w:lineRule="auto"/>
        <w:ind w:firstLine="482" w:firstLineChars="200"/>
        <w:outlineLvl w:val="0"/>
        <w:rPr>
          <w:rFonts w:cs="宋体" w:asciiTheme="majorEastAsia" w:hAnsiTheme="majorEastAsia" w:eastAsiaTheme="majorEastAsia"/>
          <w:b/>
          <w:bCs/>
        </w:rPr>
      </w:pPr>
      <w:bookmarkStart w:id="693" w:name="_Toc13925"/>
      <w:r>
        <w:rPr>
          <w:rFonts w:hint="eastAsia" w:cs="宋体" w:asciiTheme="majorEastAsia" w:hAnsiTheme="majorEastAsia" w:eastAsiaTheme="majorEastAsia"/>
          <w:b/>
          <w:bCs/>
        </w:rPr>
        <w:t>第十一章附则</w:t>
      </w:r>
      <w:bookmarkEnd w:id="69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第五十五条本指引与国家法律、法规和监管部门规章不一致的，依照有关法律、法规和监管部门规章执行。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第五十六条本指引自发布之日起实施。</w:t>
      </w:r>
    </w:p>
    <w:p>
      <w:pPr>
        <w:spacing w:after="156" w:afterLines="50" w:line="360" w:lineRule="auto"/>
        <w:ind w:firstLine="480" w:firstLineChars="200"/>
        <w:rPr>
          <w:rFonts w:cs="宋体" w:asciiTheme="majorEastAsia" w:hAnsiTheme="majorEastAsia" w:eastAsiaTheme="majorEastAsia"/>
        </w:rPr>
        <w:sectPr>
          <w:endnotePr>
            <w:numFmt w:val="decimal"/>
          </w:endnotePr>
          <w:pgSz w:w="11906" w:h="16838"/>
          <w:pgMar w:top="1440" w:right="1800" w:bottom="1440" w:left="1800" w:header="851" w:footer="992" w:gutter="0"/>
          <w:cols w:space="720" w:num="1"/>
          <w:docGrid w:type="lines" w:linePitch="312" w:charSpace="0"/>
        </w:sectPr>
      </w:pPr>
      <w:r>
        <w:rPr>
          <w:rFonts w:hint="eastAsia" w:cs="宋体" w:asciiTheme="majorEastAsia" w:hAnsiTheme="majorEastAsia" w:eastAsiaTheme="majorEastAsia"/>
        </w:rPr>
        <w:t>第五十七条本指引由中国支付清算协会负责解释。</w:t>
      </w:r>
    </w:p>
    <w:p>
      <w:pPr>
        <w:pStyle w:val="2"/>
        <w:numPr>
          <w:ilvl w:val="0"/>
          <w:numId w:val="0"/>
        </w:numPr>
        <w:ind w:left="922" w:leftChars="0" w:hanging="440" w:firstLineChars="0"/>
      </w:pPr>
      <w:bookmarkStart w:id="694" w:name="_Toc5609"/>
      <w:r>
        <w:rPr>
          <w:rFonts w:cs="宋体" w:asciiTheme="majorEastAsia" w:hAnsiTheme="majorEastAsia" w:eastAsiaTheme="majorEastAsia"/>
          <w:b/>
          <w:bCs/>
          <w:sz w:val="24"/>
          <w:szCs w:val="24"/>
          <w:lang w:val="en-US" w:eastAsia="zh-CN" w:bidi="ar-SA"/>
        </w:rPr>
        <w:t>131.</w:t>
      </w:r>
      <w:r>
        <w:rPr>
          <w:rFonts w:hint="eastAsia"/>
        </w:rPr>
        <w:t>《中国银行业保理业务规范》(2016修订)</w:t>
      </w:r>
      <w:r>
        <w:rPr>
          <w:rFonts w:hint="eastAsia"/>
        </w:rPr>
        <w:tab/>
      </w:r>
      <w:r>
        <w:rPr>
          <w:rFonts w:hint="eastAsia"/>
        </w:rPr>
        <w:t>》</w:t>
      </w:r>
      <w:bookmarkEnd w:id="69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发文机构：中国银行业协会</w:t>
      </w:r>
      <w:r>
        <w:rPr>
          <w:rFonts w:hint="eastAsia" w:cs="宋体" w:asciiTheme="majorEastAsia" w:hAnsiTheme="majorEastAsia" w:eastAsiaTheme="majorEastAsia"/>
        </w:rPr>
        <w:tab/>
      </w:r>
      <w:r>
        <w:rPr>
          <w:rFonts w:hint="eastAsia" w:cs="宋体" w:asciiTheme="majorEastAsia" w:hAnsiTheme="majorEastAsia" w:eastAsiaTheme="majorEastAsia"/>
        </w:rPr>
        <w:t>文号：银协发〔2016〕127号</w:t>
      </w:r>
      <w:r>
        <w:rPr>
          <w:rFonts w:hint="eastAsia" w:cs="宋体" w:asciiTheme="majorEastAsia" w:hAnsiTheme="majorEastAsia" w:eastAsiaTheme="majorEastAsia"/>
        </w:rPr>
        <w:tab/>
      </w:r>
    </w:p>
    <w:p>
      <w:pPr>
        <w:spacing w:after="156" w:afterLines="50" w:line="360" w:lineRule="auto"/>
        <w:ind w:firstLine="482" w:firstLineChars="200"/>
        <w:outlineLvl w:val="0"/>
        <w:rPr>
          <w:rFonts w:cs="宋体" w:asciiTheme="majorEastAsia" w:hAnsiTheme="majorEastAsia" w:eastAsiaTheme="majorEastAsia"/>
          <w:b/>
          <w:bCs/>
        </w:rPr>
      </w:pPr>
      <w:bookmarkStart w:id="695" w:name="_Toc21224"/>
      <w:r>
        <w:rPr>
          <w:rFonts w:hint="eastAsia" w:cs="宋体" w:asciiTheme="majorEastAsia" w:hAnsiTheme="majorEastAsia" w:eastAsiaTheme="majorEastAsia"/>
          <w:b/>
          <w:bCs/>
        </w:rPr>
        <w:t>第一章总则</w:t>
      </w:r>
      <w:bookmarkEnd w:id="69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为了确立保理业务管理基本原则，明确其业务属性，以规范和促进保理业务健康、有序发展，根据《中华人民共和国合同法》、《中华人民共和国物权法》、《中华人民共和国银行业监督管理法》、《中华人民共和国商业银行法》、《中华人民共和国价格法》、《商业银行保理业务管理暂行办法》，以及其他有关法律、法规、规章、国际国内惯例，特制定本规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本规范适用于中华人民共和国境内经国务院银行业监督管理机构批准设立并开办保理业务的银行业金融机构。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银行在办理业务时应当遵循以下原则：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（一）遵守我国有关法律、法规及规章，如《商业银行保理业务管理暂行办法》；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（二）遵守国际惯例，如《国际保理通用规则》等；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（三）妥善处理业务发展与风险管理的关系，审慎经营；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（四）遵循平等自愿、公平诚信的原则，并妥善处理同业合作与竞争的关系。</w:t>
      </w:r>
    </w:p>
    <w:p>
      <w:pPr>
        <w:spacing w:after="156" w:afterLines="50" w:line="360" w:lineRule="auto"/>
        <w:ind w:firstLine="482" w:firstLineChars="200"/>
        <w:outlineLvl w:val="0"/>
        <w:rPr>
          <w:rFonts w:cs="宋体" w:asciiTheme="majorEastAsia" w:hAnsiTheme="majorEastAsia" w:eastAsiaTheme="majorEastAsia"/>
          <w:b/>
          <w:bCs/>
        </w:rPr>
      </w:pPr>
      <w:bookmarkStart w:id="696" w:name="_Toc28669"/>
      <w:r>
        <w:rPr>
          <w:rFonts w:hint="eastAsia" w:cs="宋体" w:asciiTheme="majorEastAsia" w:hAnsiTheme="majorEastAsia" w:eastAsiaTheme="majorEastAsia"/>
          <w:b/>
          <w:bCs/>
        </w:rPr>
        <w:t>第二章定义、特点及分类</w:t>
      </w:r>
      <w:bookmarkEnd w:id="69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定义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（一）应收账款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本规范所称应收账款，是指企业因提供商品、服务或者出租资产而形成的金钱债权及其产生的收益，但不包括因票据或其他有价证券而产生的付款请求权。以应收账款为质押的贷款，不属于保理业务范围。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（二）保理业务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保理业务是一项以债权人转让其应收账款为前提，集应收账款催收、管理、坏账担保及融资于一体的综合性金融服务。债权人将其应收账款转让给银行，由银行向其提供下列服务中的至少一项的，即为保理业务：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1.应收账款催收：银行根据应收账款账期，主动或应债权人要求，采取电话、函件、上门催款直至法律手段等对债务人进行催收。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2.应收账款管理：银行根据债权人的要求，定期或不定期向其提供关于应收账款的回收情况、逾期账款情况、对账单等各种财务和统计报表，协助其进行应收账款管理。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3.坏账担保：债权人与银行签订保理协议后，由银行为债务人核定信用额度，并在核准额度内，对债权人无商业纠纷的应收账款，提供约定的付款担保。</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4.保理融资：以应收账款合法、有效转让为前提的银行融资服务。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保理业务具备以下特点：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1.银行通过受让债权，取得对债务人的直接请求权；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2.保理融资的第一还款来源为债务人对应收账款的支付；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3.银行通过对债务人的还款行为、还款记录持续性地跟踪、评估和检查等，及时发现风险，采取措施，达到风险缓释的作用；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4.银行对债务人的坏账担保属于有条件的付款责任。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保理业务分类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1.国际、国内保理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按照基础交易的性质和债权人债务人所在地，可分为国际保理和国内保理。债权人和债务人均在境内的，称为国内保理；债权人和债务人中至少有一方在境外（包括保税区、自贸区、境内关外等）的，称为国际保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2.有、无追索权保理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按照银行在债务人破产无理拖欠或无法偿付应收账款时，是否可以向债权人反转让应收账款，或要求债权人回购应收账款或归还融资，可分为有追索权保理和无追索权保理。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有追索权保理是指在应收账款到期无法从债务人处收回时，银行可以向债权人反转让应收账款，或要求债权人回购应收账款或归还融资。有追索权保理又称回购型保理。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无追索权保理是指应收账款在无商业纠纷等情况下无法得到清偿的，由银行承担应收账款的坏账风险。无追索权保理又称买断型保理。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3.公开、隐蔽型保理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按照是否将应收账款转让的事实通知债务人，可分为公开型保理和隐蔽型保理。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公开型保理应将应收账款转让的事实通知债务人，通知方式包括但不限于：向债务人提交银行规定格式的通知书，在发票上加注银行规定格式的转让条款。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隐蔽型保理中应收账款转让的事实暂不通知债务人，但银行保留一定条件下通知的权利。</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4.单保理、双保理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按照参与保理服务的保理机构个数，可分为单保理和双保理。单保理是由一家保理机构单独为买卖双方提供保理服务。双保理是由两家保理机构分别向买卖双方提供保理服务。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买卖双方保理机构为同一家银行不同分支机构的，原则上可视作双保理。银行需在业务管理办法中同时体现买方保理机构和卖方保理机构的职责。</w:t>
      </w:r>
    </w:p>
    <w:p>
      <w:pPr>
        <w:spacing w:after="156" w:afterLines="50" w:line="360" w:lineRule="auto"/>
        <w:ind w:firstLine="480" w:firstLineChars="200"/>
        <w:outlineLvl w:val="0"/>
        <w:rPr>
          <w:rFonts w:cs="宋体" w:asciiTheme="majorEastAsia" w:hAnsiTheme="majorEastAsia" w:eastAsiaTheme="majorEastAsia"/>
        </w:rPr>
      </w:pPr>
      <w:bookmarkStart w:id="697" w:name="_Toc10359"/>
      <w:r>
        <w:rPr>
          <w:rFonts w:hint="eastAsia" w:cs="宋体" w:asciiTheme="majorEastAsia" w:hAnsiTheme="majorEastAsia" w:eastAsiaTheme="majorEastAsia"/>
        </w:rPr>
        <w:t>有保险公司承保买方信用风险的银保合作，视同为双保理。</w:t>
      </w:r>
      <w:bookmarkEnd w:id="697"/>
    </w:p>
    <w:p>
      <w:pPr>
        <w:spacing w:after="156" w:afterLines="50" w:line="360" w:lineRule="auto"/>
        <w:ind w:firstLine="482" w:firstLineChars="200"/>
        <w:outlineLvl w:val="0"/>
        <w:rPr>
          <w:rFonts w:cs="宋体" w:asciiTheme="majorEastAsia" w:hAnsiTheme="majorEastAsia" w:eastAsiaTheme="majorEastAsia"/>
          <w:b/>
          <w:bCs/>
        </w:rPr>
      </w:pPr>
      <w:bookmarkStart w:id="698" w:name="_Toc27661"/>
      <w:r>
        <w:rPr>
          <w:rFonts w:hint="eastAsia" w:cs="宋体" w:asciiTheme="majorEastAsia" w:hAnsiTheme="majorEastAsia" w:eastAsiaTheme="majorEastAsia"/>
          <w:b/>
          <w:bCs/>
        </w:rPr>
        <w:t>第三章银行内部管理要求</w:t>
      </w:r>
      <w:bookmarkEnd w:id="698"/>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银行应根据业务发展战略、业务规模等，设立专门的保理业务部门或团队，负责制度制订、产品研发、推广、业务操作和管理等工作，并配备相应的资源保障。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银行应当针对保理业务建立完整的前中后台管理流程，前中后台应职责明晰且相对独立，岗位职能设置包括但不限于：市场营销、产品研发、业务管理、风险控制和业务操作等。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银行应加强对本行从业人员的培训，提高其专业能力，积极组织、参与中国银行业协会保理专业委员会、国际保理商联合会、国际商会等行业组织举办的专业培训活动及相关工作。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银行应根据保理业务特点，严格实施受理与调查、风险评估与评价、应收账款回款支付和监测等全流程控制，建立规范的业务管理办法和操作规程。</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（一）业务管理办法至少应包含以下内容：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1.业务范围：应参照本规范对具体产品进行定义，并按银行自身的情况制定适当的业务范围。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2.组织结构：应明确业务相关部门及其职责，同时授予保理业务部门相对独立的管理权限。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3.客户准入：应按照保理业务特点，制定适当的客户准入标准。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4.账款标准：应制定适合叙作保理业务的应收账款标准，包括但不限于账期、付款条件、交易背景和性质等。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5.授信审批：应制定符合保理业务特点的授信政策，根据风险承担的实质确定授信主体、评估标准和放款条件。银行可在不通知债务人的情况下发起对债务人的主动授信，且不必与债务人签署授信协议。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6.同业风险管理：应对其合作银行、保理公司及保险公司等合作保理机构制定准入准出标准并签署合作协议，对于实际承担信用风险的合作保理机构，应进行授信管理。业务过程中，应定期监控合作保理机构及其所在国家地区风险变化情况，并适时作出调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7.授信后管理：应制定与保理业务特点相适应的授信后管理政策，包括密切监控债权人及债务人履约情况、交易背景真实性、应收账款回款专户管理等，该专户用于接收应收账款回款，是以债权人名义开立的账户，或者以保理银行名义开立的具有银行内部户性质的专用账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8.收费及计息标准：应根据业务分类、服务内容、业务成本、工作量、风险承担、合理利润、行业惯例等因素进行综合定价，制订合理化、个性化的收费、计息标准，包括应收账款管理费、单据处理费和融资利息等。收取时点包括但不限于应收账款转让、融资发放或买方付款时收取等，收取对象可采取卖方支付、买方支付和协议支付等，对于期限为一年以上的应收账款，可每年收取。可根据内部资金成本、风险资本占用以及收益要求厘定保理融资利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（二）保理业务操作规程至少应包含以下内容：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1.业务受理。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2.额度申请及核准。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3.融资比例及融资期限：银行应充分考虑应收账款稀释及付款期限等因素合理确定融资比例、融资期限及融资宽限期。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4.协议签署：卖方银行应与债权人签订业务协议，可不与债务人签订协议。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5.交易真实性审查。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6.应收账款转让及通知债务人：除单笔核准外，原则上应要求债权人对指定债务人的应收账款整体转让。银行可以受让未来应收账款，但不得针对未来应收账款发放保理融资。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7.额度使用及管理：包括对债权人和债务人额度的启用、占用、变更、冻结和取消等。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8.融资发放。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9.应收账款管理及催收：应收账款催收、应收账款管理等业务不得外包给第三方机构。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10.费用收取及支付。</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11.特定情况处理：包括贷项清单、商业纠纷、间接付款和担保付款的处理等。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12.会计处理。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基于合格应收账款的信用风险缓释作用，银行在叙作保理业务时，关于信用风险加权资产的厘定可参照以下原则执行：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1.如仅提供应收账款管理或催收服务，则无信用风险加权资产。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提供无追索权保理业务的卖方保理机构，可按照买方保理商、保险公司或债务人的信用风险权重计算相关风险加权资产；提供有追索权保理业务的卖方保理机构，可按照提供信用风险担保的买方保理商（如有）、保险公司（如有）或债权人的信用风险权重计算相关风险加权资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3.提供坏账担保服务的买方保理机构，根据承担风险的实质，给予一定的信用风险转换系数，可参照“与贸易直接相关的短期或有项目”执行。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4.买卖双方保理机构为同一银行的，整体信用风险权重不应大于100%，具体信用风险权重可按具体业务情况及各风险缓释因素确定。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银行根据内部管理要求决定保理业务是否在中国人民银行“中征动产融资统一登记平台”进行转让登记，但鼓励银行积极登记，以形成行业共济机制。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银行应建立电子化的业务操作和管理系统，以实现以下目标：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1.管理流程统一：设定统一业务标准，确保银行在参数构架、安控维护、额度控制和业务流程等方面进行即时监控，随时了解业务运营情况，便于对业务的定期回顾和检查。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2.预警及监管：实现对应收账款的分账户管理，并对业务异常情况进行预警提示等。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3.业务数据保存：做好数据备份工作，确保储存数据安全。储存期限应不少于五年，储存数据可根据需要随时提取，用于事后的统计、管理等。</w:t>
      </w:r>
    </w:p>
    <w:p>
      <w:pPr>
        <w:spacing w:after="156" w:afterLines="50" w:line="360" w:lineRule="auto"/>
        <w:ind w:firstLine="482" w:firstLineChars="200"/>
        <w:outlineLvl w:val="0"/>
        <w:rPr>
          <w:rFonts w:cs="宋体" w:asciiTheme="majorEastAsia" w:hAnsiTheme="majorEastAsia" w:eastAsiaTheme="majorEastAsia"/>
          <w:b/>
          <w:bCs/>
        </w:rPr>
      </w:pPr>
      <w:bookmarkStart w:id="699" w:name="_Toc17837"/>
      <w:r>
        <w:rPr>
          <w:rFonts w:hint="eastAsia" w:cs="宋体" w:asciiTheme="majorEastAsia" w:hAnsiTheme="majorEastAsia" w:eastAsiaTheme="majorEastAsia"/>
          <w:b/>
          <w:bCs/>
        </w:rPr>
        <w:t>第四章数据统计及信息披露</w:t>
      </w:r>
      <w:bookmarkEnd w:id="699"/>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银行应做好业务数据统计工作，并按照监管机构的要求及时报送。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企业征信系统信息披露。</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银行在提供保理融资时，有追索权保理按融资金额计入债权人征信信息；无追索权保理不计入债权人及债务人征信信息。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银行在为债务人核定信用额度时，不计入债务人征信信息。</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银行在进行担保付款或垫款时，应按风险发生的实质，决定计入债权人或债务人的征信信息。</w:t>
      </w:r>
    </w:p>
    <w:p>
      <w:pPr>
        <w:spacing w:after="156" w:afterLines="50" w:line="360" w:lineRule="auto"/>
        <w:ind w:firstLine="482" w:firstLineChars="200"/>
        <w:outlineLvl w:val="0"/>
        <w:rPr>
          <w:rFonts w:cs="宋体" w:asciiTheme="majorEastAsia" w:hAnsiTheme="majorEastAsia" w:eastAsiaTheme="majorEastAsia"/>
          <w:b/>
          <w:bCs/>
        </w:rPr>
      </w:pPr>
      <w:bookmarkStart w:id="700" w:name="_Toc18770"/>
      <w:r>
        <w:rPr>
          <w:rFonts w:hint="eastAsia" w:cs="宋体" w:asciiTheme="majorEastAsia" w:hAnsiTheme="majorEastAsia" w:eastAsiaTheme="majorEastAsia"/>
          <w:b/>
          <w:bCs/>
        </w:rPr>
        <w:t>第五章附则</w:t>
      </w:r>
      <w:bookmarkEnd w:id="700"/>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银行应按照本规范制定相应的规章制度以及实施细则，其它开展保理业务的机构可参照执行。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本规范中凡涉及国家外汇管理法规、政策的有关要求的，如遇有关部门出台新的法规或规定，应遵守和执行新的法规。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本规范由中国银行业协会保理专业委员会组织制定并负责解释。</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本规范自发布之日起施行。</w:t>
      </w:r>
    </w:p>
    <w:p>
      <w:pPr>
        <w:spacing w:after="156" w:afterLines="50" w:line="360" w:lineRule="auto"/>
        <w:ind w:firstLine="480" w:firstLineChars="200"/>
        <w:rPr>
          <w:rFonts w:cs="宋体" w:asciiTheme="majorEastAsia" w:hAnsiTheme="majorEastAsia" w:eastAsiaTheme="majorEastAsia"/>
        </w:rPr>
        <w:sectPr>
          <w:endnotePr>
            <w:numFmt w:val="decimal"/>
          </w:endnotePr>
          <w:pgSz w:w="11906" w:h="16838"/>
          <w:pgMar w:top="1440" w:right="1800" w:bottom="1440" w:left="1800" w:header="851" w:footer="992" w:gutter="0"/>
          <w:cols w:space="720" w:num="1"/>
          <w:docGrid w:type="lines" w:linePitch="312" w:charSpace="0"/>
        </w:sectPr>
      </w:pPr>
    </w:p>
    <w:p>
      <w:pPr>
        <w:pStyle w:val="2"/>
        <w:numPr>
          <w:ilvl w:val="0"/>
          <w:numId w:val="0"/>
        </w:numPr>
        <w:ind w:left="922" w:leftChars="0" w:hanging="440" w:firstLineChars="0"/>
      </w:pPr>
      <w:bookmarkStart w:id="701" w:name="_Toc24442"/>
      <w:r>
        <w:rPr>
          <w:rFonts w:cs="宋体" w:asciiTheme="majorEastAsia" w:hAnsiTheme="majorEastAsia" w:eastAsiaTheme="majorEastAsia"/>
          <w:b/>
          <w:bCs/>
          <w:sz w:val="24"/>
          <w:szCs w:val="24"/>
          <w:lang w:val="en-US" w:eastAsia="zh-CN" w:bidi="ar-SA"/>
        </w:rPr>
        <w:t>132.</w:t>
      </w:r>
      <w:r>
        <w:rPr>
          <w:rFonts w:hint="eastAsia"/>
        </w:rPr>
        <w:t>《中国银行业票据业务规范》</w:t>
      </w:r>
      <w:bookmarkEnd w:id="701"/>
      <w:r>
        <w:rPr>
          <w:rFonts w:hint="eastAsia"/>
        </w:rPr>
        <w:tab/>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发文机构：中国银行业协会</w:t>
      </w:r>
    </w:p>
    <w:p>
      <w:pPr>
        <w:spacing w:after="156" w:afterLines="50" w:line="360" w:lineRule="auto"/>
        <w:ind w:firstLine="482" w:firstLineChars="200"/>
        <w:outlineLvl w:val="0"/>
        <w:rPr>
          <w:rFonts w:cs="宋体" w:asciiTheme="majorEastAsia" w:hAnsiTheme="majorEastAsia" w:eastAsiaTheme="majorEastAsia"/>
          <w:b/>
          <w:bCs/>
        </w:rPr>
      </w:pPr>
      <w:bookmarkStart w:id="702" w:name="_Toc14754"/>
      <w:r>
        <w:rPr>
          <w:rFonts w:hint="eastAsia" w:cs="宋体" w:asciiTheme="majorEastAsia" w:hAnsiTheme="majorEastAsia" w:eastAsiaTheme="majorEastAsia"/>
          <w:b/>
          <w:bCs/>
        </w:rPr>
        <w:t>第一章总则</w:t>
      </w:r>
      <w:bookmarkEnd w:id="702"/>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第一条 《中国银行业票据业务规范》（以下简称"规范"）主要依据《中华人民共和国票据法》、《支付结算办法》、《票据管理实施办法》、《商业汇票承兑、贴现与再贴现管理暂行办法》、《商业银行内部控制指引》等商业汇票业务相关法律、法规和规范性文件规定，结合我国票据市场及商业汇票业务实践制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第二条 本规范遵循"诚信自律、公平竞争、合规经营、共同发展"的市场原则，旨在自觉建立和维护国内商业汇票市场的良好经营秩序和提高金融资源配置效率，促进中国票据市场健康可持续发展。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第三条 本规范由中国银行业协会（以下简称"中银协"）制定，作为中银协各会员单位办理商业汇票承兑、贴现、转贴现、再贴现、回购、到期托收业务以及在票据业务创新和风险控制等方面的基本行为规范。</w:t>
      </w:r>
    </w:p>
    <w:p>
      <w:pPr>
        <w:spacing w:after="156" w:afterLines="50" w:line="360" w:lineRule="auto"/>
        <w:ind w:firstLine="482" w:firstLineChars="200"/>
        <w:outlineLvl w:val="0"/>
        <w:rPr>
          <w:rFonts w:cs="宋体" w:asciiTheme="majorEastAsia" w:hAnsiTheme="majorEastAsia" w:eastAsiaTheme="majorEastAsia"/>
          <w:b/>
          <w:bCs/>
        </w:rPr>
      </w:pPr>
      <w:bookmarkStart w:id="703" w:name="_Toc30720"/>
      <w:r>
        <w:rPr>
          <w:rFonts w:hint="eastAsia" w:cs="宋体" w:asciiTheme="majorEastAsia" w:hAnsiTheme="majorEastAsia" w:eastAsiaTheme="majorEastAsia"/>
          <w:b/>
          <w:bCs/>
        </w:rPr>
        <w:t>第二章重要术语与定义</w:t>
      </w:r>
      <w:bookmarkEnd w:id="703"/>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第四条 基于国内货币市场发展现状，本规范所称票据特指商业汇票。商业汇票是出票人签发的，委托付款人在指定日期无条件支付确定的金额给收款人或者持票人的票据。商业汇票分为银行承兑汇票（简称银票）和商业承兑汇票（简称商票）。根据制作形式与介质不同，商业汇票包括纸质商业汇票和电子商业汇票二种形态。电子商业汇票是出票人以数据电文形式制作的，委托付款人在指定日期无条件支付确定的金额给收款人或者持票人的票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第五条 本规范所称票据业务是指以商业汇票为媒介，与信用投放、资金融通以及支付结算等方面相关的金融服务行为。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第六条 本规范所称承兑业务特指会员单位作为付款人，承诺在票据到期日向收款人或者持票人支付票面金额的票据行为。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第七条 本规范所称贴现业务是指商业汇票的持票人在汇票到期日前，为了取得资金贴付一定利息将票据权利转让给会员单位的票据行为。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第八条 本规范所称转贴现业务是指会员单位为了取得资金，将未到期的已贴现商业汇票再以贴现方式向另一金融机构转让的票据行为。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第九条 本规范所称回购业务是指会员单位（卖出回购方）将其持有的已经其贴现的票据以不改变票据权利人的方式向其他金融机构（买入返售方）申请贴现，买入返售方按票面金额以双方商定的回购期限和价格扣除回购利息后向卖出回购方给付资金，回购到期后卖出回购方按票面金额向买入返售方购回票据的融资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第十条 本规范所称再贴现业务是指会员单位为了取得资金，将未到期的已贴现商业汇票再以贴现方式向中国人民银行转让的票据行为。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第十一条 本规范所称到期托收业务是指会员单位以持有票据或委托收款票据向付款人收取款项的票据行为。</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第十二条 本规范所称票据业务期限。贴现、转贴现和再贴现业务的期限从其贴现之日起至汇票到期日止。实付贴现金额按票面金额扣除贴现日至汇票到期日前一天的利息计算。承兑人在异地的，贴现、转贴现和再贴现的期限等应符合监管部门的相关规定。回购业务的期限从业务交易日起至约定赎回日止。票据到期日或交易约定到期日如遇法定节假日顺延至下一个工作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第十三条 本规范所称票据业务利率。贴现利率以再贴现利率为下限加点确定，转贴现、回购业务利率由会员单位与交易对手协商确定。再贴现业务利率遵循中国人民银行规定。</w:t>
      </w:r>
    </w:p>
    <w:p>
      <w:pPr>
        <w:spacing w:after="156" w:afterLines="50" w:line="360" w:lineRule="auto"/>
        <w:ind w:firstLine="482" w:firstLineChars="200"/>
        <w:outlineLvl w:val="0"/>
        <w:rPr>
          <w:rFonts w:cs="宋体" w:asciiTheme="majorEastAsia" w:hAnsiTheme="majorEastAsia" w:eastAsiaTheme="majorEastAsia"/>
          <w:b/>
          <w:bCs/>
        </w:rPr>
      </w:pPr>
      <w:bookmarkStart w:id="704" w:name="_Toc18523"/>
      <w:r>
        <w:rPr>
          <w:rFonts w:hint="eastAsia" w:cs="宋体" w:asciiTheme="majorEastAsia" w:hAnsiTheme="majorEastAsia" w:eastAsiaTheme="majorEastAsia"/>
          <w:b/>
          <w:bCs/>
        </w:rPr>
        <w:t>第三章基本业务规范</w:t>
      </w:r>
      <w:bookmarkEnd w:id="704"/>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第一节承兑业务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第十四条 承兑业务申请人应为在承兑行开立账户的依法从事经营活动的法人或其他组织。</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第十五条 承兑行需通过中国人民银行企业征信系统查询承兑申请人信用状况和贷款卡状态是否正常，不应受理贷款卡暂停或不能提供有效贷款卡申请人的承兑业务申请。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第十六条 承兑业务申请人应当遵循诚实信用的原则，其与收款人之间应具有真实的交易关系和债权债务关系。各会员单位应认真审查承兑申请人提供的商品或劳务等交易资料的真实性、完整性和有效性（主要是商品或劳务交易合同和税务发票等资料）。</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（一）对于不能提供真实、有效的商品或劳务交易合同等资料，无法证明存在真实交易关系和债权债务关系的承兑申请，各会员单位不应受理；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（二）对于提供虽然真实但已超过合同约定有效期或失去法律效力以及提供虚假商品或劳务交易合同等资料的承兑申请，各会员单位不应受理；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对于确实因客观原因无法及时提供商品或劳务交易合同原件（如无交易合同的现货交易等）的申请人，各会员单位在确定其具有真实交易关系并有相关证明资料，且在承兑协议中有相应风险控制条款的情况下，可以受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（四）已在同一承兑行办理过承兑业务的申请人，在承兑行规定的期限内或票据到期日前未提交有效的税务发票或其他用以证明交易关系和债权债务关系存在的相关凭据的，承兑行不应受理其新的承兑申请。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第十七条 在办理承兑业务时，各会员单位应按中国人民银行规定向申请人收取承兑手续费，敞口风险管理费可按双方协议执行。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第十八条 在办理承兑业务时，各会员单位可根据承兑申请人信用状况收取保证金，对敞口部分可要求承兑申请人提供承兑行认可的担保。对于收取的保证金，各会员单位应存入专户管理，并审核保证金来源的合理性与合规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第十九条 接到对本行承兑票据的查询后，各会员单位应及时将被查询票据与本行台账或票据系统信息以及票据底卡联记载的要素进行核对，并最迟在下一个工作日营业结束前予以回复。回复的内容应包括但不限于以下内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（一）票号、票面金额、出票日、到期日；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（二）他行是否已办理过查询；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（三）有无挂失止付、公示催告或被司法机关冻结等情况。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对于有他行查询的票据，承兑行应在回复中注明他行查询次数及查询行行号。查询行向曾查行发出查询后，曾查行最迟应于收到查询通知后的三个工作日内明确答复票据是否已办理贴现或质押。</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为避免已贴入票据被除权判决的情况发生，承兑行应在收到法院止付通知书的两个工作日内通知已查询行，告知公示催告情况。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第二十条 票据到期前，承兑行应通知承兑申请人将票款足额存入其账户用以付款。承兑行因工作差错或故意压票、退票、拖延支付，影响持票人资金使用的，应按中国人民银行规定的同期同档次贷款的基准利率向委托收款人计付赔偿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第二十一条 票据到期，出票人于票据到期日未能足额缴存票款时，承兑行向持票人付款后，对出票人尚未支付的汇票金额应转入逾期贷款核算和管理。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第二十二条 会员单位发生票据垫款后，应积极催收和追偿。经催收和追偿仍无法收回垫款的，应根据具体情况采取包括诉讼在内的多种手段进行维权。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第二十三条 票据到期后，承兑行在收到持票人寄来的委托收款凭证和银票，经审核确为本行承兑的票据后，除以下情况外，应于票据到期日或票据到期后收到票据当日或最迟次日无条件付款。</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（一）票据正面注明"不得转让"而发生背书转让的票据；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（二）背书不连续且无法提供相关补充证明文件的票据；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（三）挂失止付期内的票据；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（四）法院做出除权判决，已无效的票据；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（五）其他符合《票据法》抗辩事由的票据。</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已贴现的票据在托收时，如存在背书个别字迹不规范、印章部分不清晰或存在其他不影响票据效力的瑕疵事项，有关责任人已提供相关证明文件的或直接在票据上有效更正的，不应作为拒付或延迟付款的理由。</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第二十四条 为提高结算效率，承兑行认为委托收款票据存在影响到期兑付的瑕疵事项的，应在收到委托收款信函后及时与持票人开户行或持票人进行沟通。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第二节贴现业务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第二十五条 贴现申请人资格审查。除符合监管部门关于持票人申请贴现应具备的条件外，办理贴现的各会员单位还需通过中国人民银行企业征信系统查询贴现申请人的信用状况和贷款卡状态是否正常。各会员单位不应受理贷款卡暂停或不能提供有效贷款卡的申请人的贴现业务申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第二十六条 票面审验。各会员单位应对拟贴现的票据原件进行审验，确认票据真实，票面要素齐全，背书连续，签章规范。</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第二十七条 票据查询。票据贴现前，各会员单位应向银票承兑行、商票承兑人或其开户行办理票据查询，查询的内容包括但不限于：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（一）汇票票面要素是否与底卡联要素相符；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（二）他行是否已向承兑行或承兑人办理过查询；</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（三）有无挂失止付、公示催告或被有关司法机关冻结等。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银票承兑行接到拟贴现会员单位的查询后，应认真核对查询内容并按照"有查必复、复必详尽"的原则回复。商票承兑人开户行应对拟贴现会员单位的商票查询在印鉴核对等方面给予积极配合。</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第二十八条 跟单资料审查。各会员单位在贴现环节进行交易背景审查的跟单资料包括但不限于：交易合同、税务发票或能够证明交易确已履行的其他有效凭证。对于贴现申请人提供的交易合同、税务发票等经审查不符合规定或者属于虚假交易资料的贴现业务申请，各会员单位不应受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第二十九条 贴现申请人提供经税务机关认可的增值税发票电子数据的，有条件的会员单位应通过将企业提供的增值税发票电子数据与本单位审核确认的票据贴现数据进行比对等相符性认定，在此基础上进行交易关系真实性审查。</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第三十条 对于承兑行与贴现行为同一会员单位的同一分支机构且持票人为票面收款人的票据，其贴现跟单资料可以以承兑交易背景审查资料替代。</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第三十一条 集团客户内设管理机构对集团内部票据进行统一管理并作为贴现申请人向会员单位申请贴现时，会员单位应要求贴现申请人提供其前手与再前手之间的交易背景资料（包括交易合同和相关税务发票等）、贴现申请人加盖公章的书面说明以及转让背书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第三十二条 贴现业务利息的支付方式由贴现申请人与办理贴现的会员单位自行协商确定，并在贴现合同中明确约定。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第三十三条 各会员单位办理贴现时，应要求贴现申请人将票据背书至本单位，以完成以本单位为被背书人的票据背书。</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第三十四条 转让背书应至少记载以下事项：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（一）被背书人名称；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（二）背书人签章。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第三十五条 各会员单位办理贴现后，应在两个工作日内通过中国人民银行大额支付系统或其他有效沟通方式或电子系统，将"该票据已由本行贴现"的信息告知承兑行。如本行承兑的票据出现冻结、止付或其他风险事项，承兑行应在知悉相关风险信息的两个工作日内告知贴现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第三节转贴现业务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第三十六条 转贴现业务的交易双方应为经法律法规要求的审批程序设立，获得票据业务经营许可的金融机构。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第三十七条 办理转贴现业务的会员单位应对交易对手的资格及交易资料进行审查并建立客户基础档案，审查内容包括但不限于：</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（一）有效的营业执照、组织机构代码证、金融许可证复印件并加盖交易对手公章；</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（二）纸质票据原件、查询查复书复印件；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（三）法定代表人或主要负责人身份证复印件，经办人身份证原件和委托书（或介绍信）原件；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（四）交易对手以贴现或转贴现方式取得商业汇票时，作为已支付对价证明的贴现凭证或转贴现凭证复印件。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第三十八条 各会员单位在办理转贴现业务时，应完成票据背书转让签章。背书要求与贴现相同。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第三十九条 各会员单位在办理转贴现业务时，应认真审查双方交易合同，确保双方合同与交易内容一致。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第四节回购（卖出回购、买入返售）业务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第四十条 回购业务的交易双方应为经法律法规要求的审批程序设立，获得票据业务经营许可的金融机构。</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第四十一条 办理回购业务的会员单位应对回购交易对手的资格及交易资料进行审查并建立客户基础档案，审查内容比照转贴现业务执行。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第四十二条 办理回购业务的金融机构应在清点查验票据后，由双方共同将相关票据现场封包并存放在买入方处。在回购业务到期日当天，交易双方应同时在场拆包、确认票据无误并在收妥资金后进行实物票据交付。封包可采取封总包或者分项封包等形式，以方便融资需求。双方另有约定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第四十三条 各会员单位在办理回购业务时应认真审查双方交易合同，确保双方合同与交易内容一致。</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第四十四条 卖出回购方应在回购业务对应票据背面的"被背书人"栏中记载卖出回购方名称。</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第四十五条 回购业务到期日前，买入返售方和卖出回购方均不应做出除追索、法律保全以及双方协商提前结束回购业务外的其他票据行为，交易双方另有约定的除外。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第五节再贴现业务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第四十六条 各会员单位向中国人民银行办理再贴现业务，应符合国家产业政策和金融监管的要求。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第四十七条 再贴现业务的操作与办理，应执行业务所属地中国人民银行分支机构的相关规定。</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第六节到期托收业务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第四十八条 托收票据在邮递、寄送、传递过程中遗失或毁损的，相关票据的承兑行应本着"友好协商、合作互助"的原则，在发出托收的金融机构提供充分可信的证据与承诺的基础上，协助其尽快收回票款。对于因承兑行的原因遗失或毁损的票据，承兑行应协助合法持票人办理公示催告手续。</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第四十九条 各金融机构所持票据因出票人或其他非直接前手原因涉及法律诉讼的，票据到期后，承兑行不应以出票人存款账户和保证金账户被司法机关冻结为由，拖延或拒绝履行本行作为第一付款人的承诺付款责任。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第五十条 各会员单位收到承兑行退回的汇票及退票理由书、未付票款通知书或拒绝付款证明之一时，应对被拒绝付款的事由进行审查。若为无理退票和拒付的，应联系重新托收；若联系无效的，可向承兑行上级行或中银协反映，请求协调和解决。</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第五十一条 各会员单位应自收到被拒绝付款的有关证明之日起，在法律规定的有效期内向直接前手及其他前手行使追索权。追索的内容包含拒付的票款、赔付利息及催收费用。追索通知书应直接送达对方签收或以特快专递方式送达对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第五十二条 收到商票提示付款通知，各会员单位应主动与承兑单位联系，协助托收行及时收回托收款项。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第五十三条 金融机构之间的到期票据代理托收，可以由委托人完成票据托收背书、加盖结算专用章、填写托收凭证，并注明"委托收款"字样，由代理人办理寄发托收信函等托收手续；也可以由委托人在背书人栏内加盖"汇票专用章"，代理人在票据背面"被背书人"栏加盖结算专用章并注明"委托收款"字样后发出托收。代理人负有妥善保管相关票据及相关资料的义务，如因代理人保管不善造成票据及相关资料的遗失、毁损从而导致托收拒付，代理人应对委托方承担相关损失赔偿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代理人与委托人依约定承担《纸质商业汇票登记查询管理办法》中规定的托收信息登记责任。</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第五十四条 会员单位为非金融机构的一般客户办理的到期票据委托收款，按照《支付结算办法》的有关规定执行。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票据的挂失止付、质押、票据到期前的追索应按照《票据法》、《支付结算办法》和监管部门的有关规定执行。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第五十五条 各会员单位办理票据委托收款业务前，应在督促持票人将票据背书事项记载完整后再予以受理。</w:t>
      </w:r>
    </w:p>
    <w:p>
      <w:pPr>
        <w:spacing w:after="156" w:afterLines="50" w:line="360" w:lineRule="auto"/>
        <w:ind w:firstLine="482" w:firstLineChars="200"/>
        <w:outlineLvl w:val="0"/>
        <w:rPr>
          <w:rFonts w:cs="宋体" w:asciiTheme="majorEastAsia" w:hAnsiTheme="majorEastAsia" w:eastAsiaTheme="majorEastAsia"/>
          <w:b/>
          <w:bCs/>
        </w:rPr>
      </w:pPr>
      <w:bookmarkStart w:id="705" w:name="_Toc7963"/>
      <w:r>
        <w:rPr>
          <w:rFonts w:hint="eastAsia" w:cs="宋体" w:asciiTheme="majorEastAsia" w:hAnsiTheme="majorEastAsia" w:eastAsiaTheme="majorEastAsia"/>
          <w:b/>
          <w:bCs/>
        </w:rPr>
        <w:t>第四章业务创新</w:t>
      </w:r>
      <w:bookmarkEnd w:id="705"/>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第五十六条 各会员单位开展票据业务创新时，应按照相关管理部门的有关规定履行报告或审批手续。</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第五十七条 各会员单位开展票据业务创新，应坚持依法合规的原则，不应以票据业务创新为名违反法律规定或违背有关监管政策要求。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第五十八条 各会员单位开展票据业务创新，应坚持公平竞争的原则，不应以排挤竞争对手为目的，进行恶性竞争或其他不正当竞争活动。</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第五十九条 各会员单位开展票据业务创新前应进行可行性研究，包括但不限于以下内容：</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（一）业务创新的内容与客户需求；</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（二）业务创新涉及的法律、法规和政策；</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（三）业务创新的风险特征和应对措施；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（四）业务创新的成本和收益分析；</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（五）本单位人员和系统资源等配备情况；</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（六）开发和实施方案等。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第六十条 各会员单位推出票据业务创新产品和服务，应制定与业务相适应的操作规程和内部管理制度，条件成熟的应制定产品手册。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第六十一条 各会员单位的产品创新要与本单位风险管理能力相匹配。创新产品正式推出前，各会员单位应制定相应的风险控制体系并对相关人员进行培训，确保业务的合规操作。</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第六十二条 各会员单位开展票据业务创新，应遵守《2006企业会计准则第23条--金融资产转移》，保护投资人、交易对手和相关金融同业的合法权益，不应以隐瞒风险、虚高收益等欺诈方式推销创新产品。</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第六十三条 各会员单位推出票据创新产品和服务，应按照《商业银行服务价格管理暂行办法》等规定进行定价和公告。</w:t>
      </w:r>
    </w:p>
    <w:p>
      <w:pPr>
        <w:spacing w:after="156" w:afterLines="50" w:line="360" w:lineRule="auto"/>
        <w:ind w:firstLine="482" w:firstLineChars="200"/>
        <w:outlineLvl w:val="0"/>
        <w:rPr>
          <w:rFonts w:cs="宋体" w:asciiTheme="majorEastAsia" w:hAnsiTheme="majorEastAsia" w:eastAsiaTheme="majorEastAsia"/>
          <w:b/>
          <w:bCs/>
        </w:rPr>
      </w:pPr>
      <w:bookmarkStart w:id="706" w:name="_Toc17622"/>
      <w:r>
        <w:rPr>
          <w:rFonts w:hint="eastAsia" w:cs="宋体" w:asciiTheme="majorEastAsia" w:hAnsiTheme="majorEastAsia" w:eastAsiaTheme="majorEastAsia"/>
          <w:b/>
          <w:bCs/>
        </w:rPr>
        <w:t>第五章风险控制</w:t>
      </w:r>
      <w:bookmarkEnd w:id="706"/>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第六十四条 各会员单位应根据内部控制的要求,构建科学合理的票据业务内部组织体系,不断优化和整合票据业务操作流程,确保票据业务风险控制的有效实施。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第六十五条 各会员单位应制定包括机构、人员、计算机系统、客户准入和产品在内的识别、监测、计量和控制票据业务风险的制度、程序和方法。</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第六十六条 各会员单位应在符合要求的营业场所内办理票据业务，并具备符合重要空白凭证、有价证券等管理要求的安全防范措施和与业务有关的其他设备、设施。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第六十七条 各会员单位应逐步建立和推行票据资产质量分类及监测预警机制，客观计量评估票据资产质量的真实状况，及时发现票据资产质量的潜在风险并及时采取防范和化解措施。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第六十八条 各会员单位应建立完整的业务档案并妥善保管，在各单位规定的业务和检查期限内，应确保原始记录、合同协议和各种资料的真实性和完整性。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第六十九条 各会员单位办理票据承兑业务的风险敞口金额应控制在承兑申请人授信额度之内；商票贴现金额应控制在承兑人授信额度之内或贴现申请人授信额度之内；商票转贴现金额应控制在承兑人授信额度之内或第一手贴现行授信额度之内；银票贴现、转贴现金额应控制在承兑行授信额度之内；票据买入返售金额应控制在交易对手授信额度之内。与上述授信规则不尽相同的单位,应按照授信额度可计量、风险可控制的原则，制定本单位信用风险控制规范并遵照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第七十条 各会员单位应根据本单位经营管理需要和风险控制要求，科学制定市场风险管理措施，防止低价恶性竞争。</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第七十一条 资金划付风险控制。</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（一）各会员单位划付贴现资金时，要认真审查贴现凭证上的贴现申请人名称与票据持票人名称是否一致，贴现资金应直接划入贴现协议中指定的贴现申请人开立在本行的账户。</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（二）各会员单位办理票据业务资金划付时，不应使用银行汇票、本票、支票等支付工具划付资金，应防止收款人通过背书转让等方式挪用资金或改变票款资金流向。</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（三）各会员单位之间的资金划付应通过中国人民银行规定或认可的支付系统办理。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第七十二条 各会员单位之间不应在票据未审验、未交接或未见证的情况下办理转贴现业务和回购业务。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第七十三条 各会员单位在办理票据业务时，应做到当日受理的票据当天入库保管，不应将贴现、转贴现或回购买入的票据放入银行内非重要凭证保管场所或非银行场所保管。</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第七十四条 各会员单位在办理纸票承兑、未用退回、贴现、转贴现、再贴现、质押、质押解除、委托收款、付款、拒付、挂失止付、公示催告、止付解除等业务后，应按要求将相关信息及时录入中国人民银行电子商业汇票系统"纸票登记查询"模块，并确保登记信息的准确性。</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商业汇票承兑、贴现、票款收回等相关信息应按照中国人民银行有关规定及时录入中国人民银行征信系统。</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第七十五条 各会员单位应根据监管部门的要求，结合本单位自身情况，采取有效措施，加强对票据承兑、贴现交易背景的审查工作，履行对承兑申请人、贴现申请人资金进行必要的合理性合规性监督和信息反馈义务。</w:t>
      </w:r>
    </w:p>
    <w:p>
      <w:pPr>
        <w:spacing w:after="156" w:afterLines="50" w:line="360" w:lineRule="auto"/>
        <w:ind w:firstLine="482" w:firstLineChars="200"/>
        <w:outlineLvl w:val="0"/>
        <w:rPr>
          <w:rFonts w:cs="宋体" w:asciiTheme="majorEastAsia" w:hAnsiTheme="majorEastAsia" w:eastAsiaTheme="majorEastAsia"/>
          <w:b/>
          <w:bCs/>
        </w:rPr>
      </w:pPr>
      <w:bookmarkStart w:id="707" w:name="_Toc4451"/>
      <w:r>
        <w:rPr>
          <w:rFonts w:hint="eastAsia" w:cs="宋体" w:asciiTheme="majorEastAsia" w:hAnsiTheme="majorEastAsia" w:eastAsiaTheme="majorEastAsia"/>
          <w:b/>
          <w:bCs/>
        </w:rPr>
        <w:t>第六章附则</w:t>
      </w:r>
      <w:bookmarkEnd w:id="707"/>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第七十六条 各会员单位办理电子商业汇票业务，按照中国人民银行《电子商业汇票业务管理办法》以及电子商业汇票系统的有关规定执行。《电子商业汇票业务管理办法》等规定未能明确的具体细节可比照本规范执行。</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第七十七条 各会员单位应依据本规范健全和完善内部管理制度，并组织落实。</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第七十八条 会员单位如有违反本规范的行为，其他会员单位有权向中银协反映；对于情节严重者，中银协可视情况给予警告、通报、暂停或取消会员资格等自律惩戒措施，并以中银协公开网站、信息平台或其他业内交流载体予以公示。对于违反票据业务有关法律、法规及规章的会员单位，中银协可上报至中国人民银行以及中国银行业监督管理委员会处理。</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第七十九条 本规范经征求各会员单位意见，由中国银行业协会自律工作委员会审议通过，自发布之日起实施。</w:t>
      </w:r>
    </w:p>
    <w:p>
      <w:pPr>
        <w:spacing w:after="156" w:afterLines="50"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第八十条 本规范由中国银行业协会自律工作委员会负责解释和修订。</w:t>
      </w:r>
    </w:p>
    <w:p>
      <w:pPr>
        <w:spacing w:after="156" w:afterLines="50" w:line="360" w:lineRule="auto"/>
        <w:ind w:firstLine="480" w:firstLineChars="200"/>
        <w:rPr>
          <w:rFonts w:cs="宋体" w:asciiTheme="majorEastAsia" w:hAnsiTheme="majorEastAsia" w:eastAsiaTheme="majorEastAsia"/>
        </w:rPr>
        <w:sectPr>
          <w:endnotePr>
            <w:numFmt w:val="decimal"/>
          </w:endnotePr>
          <w:pgSz w:w="11906" w:h="16838"/>
          <w:pgMar w:top="1440" w:right="1800" w:bottom="1440" w:left="1800" w:header="851" w:footer="992" w:gutter="0"/>
          <w:cols w:space="720" w:num="1"/>
          <w:docGrid w:type="lines" w:linePitch="312" w:charSpace="0"/>
        </w:sectPr>
      </w:pPr>
    </w:p>
    <w:p>
      <w:pPr>
        <w:pStyle w:val="2"/>
        <w:numPr>
          <w:ilvl w:val="0"/>
          <w:numId w:val="0"/>
        </w:numPr>
        <w:ind w:left="922" w:leftChars="0" w:hanging="440" w:firstLineChars="0"/>
      </w:pPr>
      <w:bookmarkStart w:id="708" w:name="_Toc32624"/>
      <w:r>
        <w:rPr>
          <w:rFonts w:cs="宋体" w:asciiTheme="majorEastAsia" w:hAnsiTheme="majorEastAsia" w:eastAsiaTheme="majorEastAsia"/>
          <w:b/>
          <w:bCs/>
          <w:sz w:val="24"/>
          <w:szCs w:val="24"/>
          <w:lang w:val="en-US" w:eastAsia="zh-CN" w:bidi="ar-SA"/>
        </w:rPr>
        <w:t>133.</w:t>
      </w:r>
      <w:r>
        <w:rPr>
          <w:rFonts w:hint="eastAsia"/>
        </w:rPr>
        <w:t>《人民币银团贷款代理行操作指南》</w:t>
      </w:r>
      <w:bookmarkEnd w:id="708"/>
      <w:r>
        <w:rPr>
          <w:rFonts w:hint="eastAsia"/>
        </w:rPr>
        <w:tab/>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发文机构：中国银行业协会</w:t>
      </w:r>
    </w:p>
    <w:p>
      <w:pPr>
        <w:spacing w:after="156" w:afterLines="50" w:line="360" w:lineRule="auto"/>
        <w:ind w:firstLine="480" w:firstLineChars="200"/>
        <w:outlineLvl w:val="0"/>
        <w:rPr>
          <w:rFonts w:hint="eastAsia" w:cs="宋体" w:asciiTheme="majorEastAsia" w:hAnsiTheme="majorEastAsia" w:eastAsiaTheme="majorEastAsia"/>
        </w:rPr>
      </w:pPr>
      <w:bookmarkStart w:id="709" w:name="_Toc21341"/>
      <w:r>
        <w:rPr>
          <w:rFonts w:hint="eastAsia" w:cs="宋体" w:asciiTheme="majorEastAsia" w:hAnsiTheme="majorEastAsia" w:eastAsiaTheme="majorEastAsia"/>
        </w:rPr>
        <w:t>第一章　总则</w:t>
      </w:r>
      <w:bookmarkEnd w:id="709"/>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一条制定本操作指南的目的和依据为明确银团贷款代理行职责义务，指导银团贷款代理行操作，优化银团贷款贷后管理，防范和化解金融风险，根据《中华人民共和国银行业监督管理办法》、《中华人民共和国商业银行法》、《中华人民共和国合同法》、《中华人民共和国担保法》、《银团贷款业务指引》（银监发【2011】85号）及其他有关法律、法规及规章，制定本规范。</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二条银团贷款合同本操作指南中提及《银团贷款合同》，是指中国银行业协会推出的《中国银行业协会银团贷款双币种固定资产银团贷款合同示范文本》和《中国银行业协会银团贷款双币种流动资金银团贷款合同示范文本》，但本操作指南的适用范围不限于采用《银团贷款合同》为文本的人民币银团贷款。</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三条合同优先原则本操作指南应作为国内人民币银团贷款代理行业务规范操作的参照依据。在具体业务实践中，本操作指南与具体交易项下的《银团贷款合同》的约定有任何不一致的，以《银团贷款合同》的约定为准。</w:t>
      </w:r>
    </w:p>
    <w:p>
      <w:pPr>
        <w:spacing w:after="156" w:afterLines="50" w:line="360" w:lineRule="auto"/>
        <w:ind w:firstLine="480" w:firstLineChars="200"/>
        <w:outlineLvl w:val="0"/>
        <w:rPr>
          <w:rFonts w:hint="eastAsia" w:cs="宋体" w:asciiTheme="majorEastAsia" w:hAnsiTheme="majorEastAsia" w:eastAsiaTheme="majorEastAsia"/>
        </w:rPr>
      </w:pPr>
      <w:bookmarkStart w:id="710" w:name="_Toc29133"/>
      <w:r>
        <w:rPr>
          <w:rFonts w:hint="eastAsia" w:cs="宋体" w:asciiTheme="majorEastAsia" w:hAnsiTheme="majorEastAsia" w:eastAsiaTheme="majorEastAsia"/>
        </w:rPr>
        <w:t>第二章　代理行的职能</w:t>
      </w:r>
      <w:bookmarkEnd w:id="710"/>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四条代理行的定义与职能（一）根据《银团贷款业务指引》（银监发[2011]85号），银团代理行是指《银团贷款合同》签订后，按相关贷款条件确定的金额和进度归集资金向借款人提供贷款，并接受银团委托、按《银团贷款合同》约定进行银团贷款事务管理和协调活动的银行。（二）代理行根据贷款人的委托，充当银团事务的管理者、操作者和执行人。它既是借款人和贷款人之间的中间联系人，也是各贷款人之间的中间联系人。（三）从法律层面上来讲，代理行是银团的代理人，其以被代理人的名义，在被代理人的授权范围内行事。代理行在授权范围内进行管理行为的法律后果由被代理人承担，代理行超越授权范围实施行为的法律后果，则应由其自行承担。（四）应当由代理行享有的权利、履行的各类职责及义务，应由包括借款人、贷款人在内的各银团贷款当事方协商一致后，落实到《银团贷款合同》中。如银团成员另行达成《银团贷款银行间协议》的，也可以将代理行的部分权利、职责及义务体现在《银团贷款银行间协议》中。</w:t>
      </w:r>
    </w:p>
    <w:p>
      <w:pPr>
        <w:spacing w:after="156" w:afterLines="50" w:line="360" w:lineRule="auto"/>
        <w:ind w:firstLine="480" w:firstLineChars="200"/>
        <w:outlineLvl w:val="0"/>
        <w:rPr>
          <w:rFonts w:hint="eastAsia" w:cs="宋体" w:asciiTheme="majorEastAsia" w:hAnsiTheme="majorEastAsia" w:eastAsiaTheme="majorEastAsia"/>
        </w:rPr>
      </w:pPr>
      <w:bookmarkStart w:id="711" w:name="_Toc10881"/>
      <w:r>
        <w:rPr>
          <w:rFonts w:hint="eastAsia" w:cs="宋体" w:asciiTheme="majorEastAsia" w:hAnsiTheme="majorEastAsia" w:eastAsiaTheme="majorEastAsia"/>
        </w:rPr>
        <w:t>第三章　代理行的资质与指定</w:t>
      </w:r>
      <w:bookmarkEnd w:id="711"/>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五条代理行的资质为确保代理行高效、专业地履行职责，有效保障各贷款人和银团的利益，同时出于公允和非关联方等方面的考虑，牵头行和各贷款人可依据以下因素指定代理行：（一）代理行应与各贷款人联系通畅，以保障银团的利益。（二）代理行应与借款人联系通畅，代理行的指定可酌情考虑借款人的建议。（三）代理行应在履行《银团贷款合同》约定的代理行职责上具有较全的功能和较丰富的经验。（四）代理行内部应对代理行业务有较为明确的团队分工，能在一定的经营单位层级上设立专业化代理行业务团队，代理行内部能有效区分作为代理行职能的行为和作为贷款人、牵头行的行为。（五）借款人的附属机构或关联机构不得出任代理行。对于借款人的财务公司担任牵头行或作为贷款人的银团贷款项目，为避免利益冲突，应由具备上述资质的其他金融机构出任代理行。</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六条代理行的指定（一）代理行的指定可以采用以下两种方式：1、由牵头行在银团的筹备阶段指定，在牵头行发出的《银团贷款邀请函》的银团贷款主要条件与条款中列明。受邀银行若回复确定作为贷款人参与银团贷款，视同确认了对代理行的指定。2、由牵头行与其他各贷款人在银团贷款的贷款额度得到了所有贷款人承诺后共同协商指定。（二）根据具体银团贷款的需要，可以委任一家或多家代理行履行不同的代理职责，且各代理行的指定和职责应在《银团贷款合同》中明示。</w:t>
      </w:r>
    </w:p>
    <w:p>
      <w:pPr>
        <w:spacing w:after="156" w:afterLines="50" w:line="360" w:lineRule="auto"/>
        <w:ind w:firstLine="480" w:firstLineChars="200"/>
        <w:outlineLvl w:val="0"/>
        <w:rPr>
          <w:rFonts w:hint="eastAsia" w:cs="宋体" w:asciiTheme="majorEastAsia" w:hAnsiTheme="majorEastAsia" w:eastAsiaTheme="majorEastAsia"/>
        </w:rPr>
      </w:pPr>
      <w:bookmarkStart w:id="712" w:name="_Toc23622"/>
      <w:r>
        <w:rPr>
          <w:rFonts w:hint="eastAsia" w:cs="宋体" w:asciiTheme="majorEastAsia" w:hAnsiTheme="majorEastAsia" w:eastAsiaTheme="majorEastAsia"/>
        </w:rPr>
        <w:t>第四章　代理行的主要责任</w:t>
      </w:r>
      <w:bookmarkEnd w:id="712"/>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七条代理行责任的范围代理行的职责可根据《银团贷款业务指引》第十二条关于代理行职责的规定在《银团贷款合同》及/或《银团贷款银行间协议》（如有）中进行约定，代理行根据《银团贷款合同》及/或《银团贷款银行间协议》（如有）的约定进行具体操作。</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八条参与文本起草并签署合同（一）代理行应参与文本的起草和谈判，尽早掌握《银团贷款合同》及/或《银团贷款银行间协议》（如有）中与代理行各项职责有关条款的实质性涵义，并从银团后续操作的角度向牵头行、借款人提出修改意见或建议，确保《银团贷款合同》及/或《银团贷款银行间协议》（如有）相关条款在逻辑上的严密性以及在代理行具体操作上的可执行性。（二）代理行应作为独立于牵头行、贷款人的签约方签署银团贷款文件。代理行签署银团贷款文件，应获得相应的签字权或转授权，确保其接受银团的指定出任代理行是合法、有效及有约束力的。</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九条提款准备阶段（一）对首次提款先决条件的审核1、代理行应当在首次提款的准备阶段，负责收集和审核提款先决条件所需的各项文件和证明。该等文件和证明如为复印件的，应加盖企业印章。2、代理行应对借款人提交的先决条件文件进行（形式）审核，逐条确定其形式是否符合《银团贷款合同》约定的要求。3、《银团贷款合同》约定先决条件的满足由各贷款人自行审核和判断的，代理行应在收到首次提款先决条件的文件后，及时向各贷款人转发相应的复印件，并要求各贷款人及时回复其是否接受以上文件的格式和内容，并由代理行按照全体或多数贷款人的决定，认定提款先决条件是否满足；《银团贷款合同》未约定先决条件的满足由各贷款人自行审核和判断的，由代理行认定提款先决条件是否满足。4、借款人首次提款前，银团律师出具法律意见确认银团贷款文件的签署的合法、有效及有约束力以及首次提款的先决条件在形式上符合银团贷款文件的要求，通常应作为提款的一个必要条件。代理行应收集该等法律意见和先决条件确认函。《银团贷款合同》约定先决条件的满足由各贷款人自行审核和判断的，代理行还应当及时将法律意见书和先决条件确认函转发给每一贷款人。5、首次提款先决条件满足后，代理行应立即通知借款人可以发出首次提款通知。代理行应查验首次提款通知的填写是否满足《银团贷款合同》的要求。6、如借款人要求豁免或修改其中部分先决条件，代理行应根据《银团贷款合同》约定征得多数或全体贷款人的同意。7、代理行应妥善保存贷款文件和提款相关资料的原件。（二）首次提款准备阶段：账户的开立1、代理行应在提款准备阶段为银团贷款的操作开立专门的内部账户，并为借款人开立银团贷款账户和还款账户。根据《银团贷款合同》的规定，代理行还可要求借款人在本行开设用于各类权益质押对应现金回款的账户、作为保证金的账户等，如有特别封闭管理要求的账户，还应执行封闭的、可接受银团监管的监管要求。2、代理行应为银团建立一套贷款人台账，负责核算和保存整个银团的本金、利息与费用等资金收付的情况。台账可按照贷款人的机构名称、承诺参贷比例、联系人信息、往来账号、业务发生日期、业务发生类别、适用利率或费率、金额等要素及参数设立，用银行间的往来账形式，核算代理行与各贷款人之间的资金往来，包括每次的提款、还款、付息、展期和付费等。（三）首次提款准备阶段：提款通知1、代理行在收到借款人发出的首次提款通知后，应检查是否符合《银团贷款合同》约定的格式要求，及时将有效的首次提款通知转发各贷款人。同时，代理行应根据各贷款人的承贷比例，计算并告知各贷款人相应的提款金额。2、代理行在贷款协议设定的提款期限之后收到提款通知的，应根据《银团贷款合同》的约定决定是否继续执行提款通知；若《银团贷款合同》未作出明确约定的，代理行应通知各贷款人，通常在征得多数贷款人的同意后仍可继续执行提款通知。虽然代理行应在获得积极回应后方能执行，但也可在《银团贷款合同》中约定一定时间内无回应视作默认。3、代理行应根据《银团贷款合同》约定的方式（包括但不限于传真、信件等）接收提款申请书。4、代理行应根据《银团贷款合同》的约定妥善保存提款通知等相关资料的原件。（四）对每次提款先决条件的审核代理行应确认每次提款先决条件的满足。对于银团贷款每次提款，代理行仅需确认借款人满足《银团贷款合同》规定的每次提款的先决条件。</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十条提款/还款阶段代理行应根据《银团贷款合同》的约定履行提款/还款阶段的管理职责，包括但不限于归集和划拨贷款资金、计算和管理利息期；确定贷款利率并通知借款人和各贷款人；计算利息、逾期利息和罚息；对提款期进行管理；还款管理等。</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十一条代理行的支付渠道代理行应遵守下列清算方式：1、提款：贷款人应根据代理行的（参贷）通知将各自所承担份额划至代理行指定的账户。除非《银团贷款合同》有相反的约定，代理行没有代贷款人垫付贷款资金的义务。2、支付：代理行应依据《银团贷款合同》中约定，完成受托支付审核流程后，将款项支付至借款人指定账户中。3、还款：代理行在收到借款人支付的任何款项时，应按照贷款合同的约定或多数贷款人的决定，进行及时分配。通常情况下，如代理行只收到部分还款，则应按照贷款合同的约定进行分配。</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十二条代理行的信息渠道作用（一）信息的传递与送达贷款人和借款人之间的信息传递应通过代理行完成。代理行应根据《银团贷款合同》的约定进行信息传递，包括但不限于向任何其他贷款人转发其收到的任何文件的复印件。（二）信息的处理方式代理行应根据《银团贷款合同》的约定及信息的性质，采取合适的处理方式：1、对于《银团贷款合同》下的大部分信息，如借款人的财务报表，借款人的提款通知等，经审核符合《银团贷款合同》约定的形式要求的，代理行仅负责传送。2、对于借款人豁免《银团贷款合同》下部分条款的申请，代理行应根据《银团贷款合同》的约定，征求多数贷款人或全部贷款人的同意。3、对于违约事件，代理行获悉后，应立即通知各贷款人。除非被明确告知或《银团贷款合同》另有明确约定，代理行默认没有违约事件发生。4、代理行发现借款人在银团项下有应付未付款项，应立即通知贷款人。通常，代理行发现上述情况应根据《银团贷款合同》的约定履行职责，包括但不限于做必要的调查并将调查所获取的信息传送给各贷款人。（三）财务信息的收集和分发1、财务信息的收集和分发是代理行作为信息渠道的最重要的职能之一。根据《银团贷款合同》的约定，借款人应在约定的期限内向代理行提供相关财务信息的，代理行可主动提醒借款人，并将相关信息及时发送至各贷款人。2、如《银团贷款合同》中有财务承诺条款，借款人在提交财务信息的同时，应向代理行提交一份由借款人授权签字人签署的承诺书，证明借款人的财务状况符合财务承诺条款，并提供合理的计算方式。（四）代理行应对融资方的咨询代理行需要应对借款人或贷款人的相关咨询（例如确认贷款余额、程序性或技术性问题），如有必要，代理行可保持与第三方（如法律顾问）的沟通，但原则上代理行不负担因咨询第三方产生的费用。当《银团贷款合同》产生争议时，代理行无义务对《银团贷款合同》做出解释。</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十三条银团贷款合同条款的修改和豁免（一）修改或豁免申请的提出1、借款人提出对合同条款的修改和豁免申请后，代理行应根据《银团贷款合同》约定的要求审核借款人提交的书面申请，以及是否已经提供各贷款人决策所需的信息资料，如现金流量预测和财务报表等。代理行收到申请后，应及时通知各贷款人要求表决。2、贷款人也可以提出对合同条款的修改。贷款人提出修改合同的，应首先通知代理行，代理行收到通知后应及时通知其他贷款人要求表决。修改涉及借款人的，代理行应根据《银团贷款合同》的约定代表银团与借款人协商修订合同条款。（二）代理行的判断1、对于借款人或贷款人提出的修改或豁免事项，代理行应根据《银团贷款合同》的规定判断该事项需多数贷款人同意还是需要全体贷款人同意。2、《银团贷款合同》没有明确约定的，或各贷款人和借款人之间存在争议，代理行可向内部法律顾问或外部律师咨询。（三）表决程序和结果代理行在收到借款人或贷款人的修改或豁免申请后，应立即通知各贷款人，并要求各贷款人在合理的期限内回复，回复可以书面回执方式提交给代理行。如未能在约定期限内形成有效的表决结果或者经大多数贷款人要求，代理行将延长回复期限，直到形成有效表决结果。对于由贷款人提出的表决事项涉及借款人和担保人（如有），代理行应将通知抄送借款人和担保人（如有）。最终有效表决结果形成后，代理行应将该结果及时通知各贷款人、借款人和担保人（如有）。（四）修改生效如表决结果涉及修改合同条款，则应按合同约定完成修改手续，修改应以书面形式做出，并经各贷款人会同代理行与借款人签署补充协议或其他书面形式后生效。</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十四条违约事件的处理（一）代理行在知悉、或被借款人或各贷款人告知违约事件或潜在违约事件后，应立即通知其他贷款人。代理行应在根据《银团贷款合同》的约定获得多数或全体贷款人的指示后，根据合同约定采取救济措施。（二）如违约事件非经借款人告知代理行，代理行应通知借款人该项违约事件或潜在违约事件，以便借款人做出确认和解释或者采取补救措施。</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十五条担保物处理（一）银团可根据项目情况，单独委任担保代理行，在贷款人得到借款人资产抵押、权益质押设置情况下，负责与担保相关的管理工作，也可委任一家代理行统一承担贷款管理工作和担保管理工作。（二）担保代理行的工作主要包括：1、担保代理行可接受银团委托，代表银团成员行与借款人签订担保合同，并依法办理担保登记。2、担保代理行应根据《银团贷款合同》和担保合同的约定，对担保物的状况进行检查，确保担保人妥善保管、保养和维护好担保物，采取有效措施保障担保物的安全、完整和保险权益（如有）。如担保物需要维修，担保代理行应敦促担保人及时进行相关的维修，费用由担保人提供。3、担保代理行应根据《银团贷款合同》和担保合同的约定监督对担保物的全部或部分处分行为以及处分担保物所得价款的用途，包括但不限于用于提前清偿债务或向银团指定的第三方提存。4、根据《银团贷款合同》及担保合同的约定，可以执行担保合同项下的权利时，代理行应根据约定，就担保事宜进行银团表决（如需），并代表银团成员行执行担保物或者行使担保权利。</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十六条银团贷款转让（一）银团贷款的转让应根据《银团贷款合同》、现行有效的法律法规和监管要求进行。除法律法规另有规定或《银团贷款合同》另有约定外，任何贷款人（转让方）可以转让《银团贷款合同》项下的权利或义务，借款人不得转让其在《银团贷款合同》项下的任何权利或义务。（二）代理行应根据《银团贷款合同》的约定及时签署转让证书。（三）代理行要负责转让登记工作，记录历次银团贷款转让的情况，保有一份当前贷款人的记录清单，并在该清单更新后及时通知合同其他各方。</w:t>
      </w:r>
    </w:p>
    <w:p>
      <w:pPr>
        <w:spacing w:after="156" w:afterLines="50" w:line="360" w:lineRule="auto"/>
        <w:ind w:firstLine="480" w:firstLineChars="200"/>
        <w:outlineLvl w:val="0"/>
        <w:rPr>
          <w:rFonts w:hint="eastAsia" w:cs="宋体" w:asciiTheme="majorEastAsia" w:hAnsiTheme="majorEastAsia" w:eastAsiaTheme="majorEastAsia"/>
        </w:rPr>
      </w:pPr>
      <w:bookmarkStart w:id="713" w:name="_Toc11144"/>
      <w:r>
        <w:rPr>
          <w:rFonts w:hint="eastAsia" w:cs="宋体" w:asciiTheme="majorEastAsia" w:hAnsiTheme="majorEastAsia" w:eastAsiaTheme="majorEastAsia"/>
        </w:rPr>
        <w:t>第五章　代理行的有限职责、责任和权利</w:t>
      </w:r>
      <w:bookmarkEnd w:id="713"/>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十七条代理行的有限职责代理行作为银团的代理人，其职责范围有严格的限定，其主要的职能是根据《银团贷款合同》服务贷款人和保障银团利益，其应勤勉、守约、尽职、专业地履行约定的各项职责，保证银团贷款各项约定及贷款人的指示与授权得到有效执行，其性质是事务性的。尤其必须明确的是，信贷评估必须由各贷款人独立进行。为明确代理行的有限责任，《银团贷款合同》一般会明确要求各贷款人确认，其已经并将继续对银团贷款任何一方的财务、资信、业务、法律地位等情况、《银团贷款合同》项下任何信息的充分性、准确性、完整性、以及与《银团贷款合同》相关的文本和行为的合法性、有效性、可执行性等承担责任。相应地，针对上述问题及可能存在的风险，代理行均不对贷款人负责。</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十八条代理行有权信任有关信息鉴于代理行因其特定的代理身份而在行使其管理职能（尤其是信息传递）时所可能带来的风险，《银团贷款合同》一般需明确规定代理行在处理特定信息时具有一定判断权，包括：除非实际知悉相反情形，代理行可以推定，银团贷款各方在《银团贷款合同》中所作的任何事实陈述是真实的、完整的和准确的；并无任何一项违约事件存续；银团贷款各贷款人均履行其在《银团贷款合同》项下各自的义务。换言之，除非《银团贷款合同》明确规定，否则，代理行并无义务去审查或核实此类信息。但是，如果代理行已知悉、或《银团贷款合同》的任何一方知悉相反情形的存在而通知代理行的，则代理行不仅有权且有义务按照《银团贷款合同》的规定通知各贷款人。</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十九条代理行行为的效力代理行履行职责和发挥其作用，有赖于银团贷款各当事人遵守约定，并与代理行相互配合。除非《银团贷款合同》及《银团贷款银行间协议》条款另有规定，代理行根据全体或多数贷款人按照《银团贷款合同》及《银团贷款银行间协议》条款的指示而采取的行动，对各贷款人均具有约束力。</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二十条贷款人的指令（一）作为对代理行的保护，《银团贷款合同》规定了代理行按照贷款人指令行事的程序和范围，同时也规定，凡代理行依据贷款人指令行事的，其不承担可能发生的法律责任与后果。（二）银团通常由多个成员组成，作为被代理人的银团对代理行的授权往往比较笼统，因此，代理行在对银团的日常管理中，往往需要依赖于银团经过其决策机制所产生的决定和指令行事。这一决策机制体现在：代理行必须根据多数贷款人或全体贷款人的指令方可采取某一具体行动。这种具体事项的决策机制在各个具体交易中一般由银团成员通过商务谈判达成，并在《银团贷款合同》的条款中予以体现。（三）《银团贷款合同》一般会明确规定须经全体贷款人决策的事项和多数贷款人决策的事项。《银团贷款合同》中规定必须由全体贷款人同意的事项一般包括：对承贷额、总承贷额、贷款币种、提款期、贷款期限、贷款利率、罚息利率、多数贷款人的定义的变更或对合同修改条款的改变等。（四）必须明确的是，无论是多数贷款人的指令还是全体贷款人的指令，均需遵循《银团贷款合同》约定的决策机制，经过决策程序。代理行应当遵循《银团贷款合同》约定的通知和表决程序，提请各贷款人表决。《银团贷款合同》可以约定，在各贷款人决定前，由代理行对具体的事项提出一个初步的解决方案。贷款人应当按照通知规定的方式和期限发表意见并做出指示。在贷款人做出决定后，除非《银团贷款合同》另有约定，代理行应当依据具体事项的性质而定，按照多数贷款人或全体贷款人的该等决定行事。代理行按照多数贷款人或全体贷款人决定和指令作为或不作为的，代理行不对《银团贷款合同》的其他方承担任何责任。</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二十一条费用补偿代理行履行对银团的管理职责，可通过收取代理费并就其开支获得补偿。根据《银团贷款合同》，代理行因按照合同规定进行代理行为而发生的或可能发生的全部合理成本、费用、损失、开支（包括律师费）获得补偿。具体的补偿机制可以由各方协商确定，比如，可以约定代理行首先要求借款人作出补偿，如未在约定的期限内获得补偿，则由各贷款人按照其当时在总额度中所占份额的比例向代理行补偿，但因代理行的过失或过错而导致的该等费用应当除外。</w:t>
      </w:r>
    </w:p>
    <w:p>
      <w:pPr>
        <w:spacing w:after="156" w:afterLines="50" w:line="360" w:lineRule="auto"/>
        <w:ind w:firstLine="480" w:firstLineChars="200"/>
        <w:rPr>
          <w:rFonts w:hint="eastAsia" w:cs="宋体" w:asciiTheme="majorEastAsia" w:hAnsiTheme="majorEastAsia" w:eastAsiaTheme="majorEastAsia"/>
        </w:rPr>
      </w:pPr>
      <w:r>
        <w:rPr>
          <w:rFonts w:hint="eastAsia" w:cs="宋体" w:asciiTheme="majorEastAsia" w:hAnsiTheme="majorEastAsia" w:eastAsiaTheme="majorEastAsia"/>
        </w:rPr>
        <w:t>第二十二条代理行的辞职代理行可以按照《银团贷款合同》规定的程序辞任。代理行的辞职可以是由代理行主动提出，经通知《银团贷款合同》各相关方后辞职，也可以经由多数贷款人或全体贷款人经过银团表决后予以撤换。在代理行主动辞任的情况下，《银团贷款合同》可以约定由多数贷款人委任一家具有相关资质、信誉良好且经验丰富的金融机构作为继任代理行。但是，为了不影响银团的日常管理工作，如果多数贷款人没有在该期限内指定继任代理行，则辞职代理行可以自行指定一家合格的继任代理行。《银团贷款合同》还应当约定在主动辞职和被撤换的情况下，辞职和委任生效的时间，以明确职责的交接。</w:t>
      </w:r>
    </w:p>
    <w:p>
      <w:pPr>
        <w:spacing w:after="156" w:afterLines="50" w:line="360" w:lineRule="auto"/>
        <w:ind w:firstLine="480" w:firstLineChars="200"/>
        <w:rPr>
          <w:rFonts w:hint="eastAsia" w:cs="宋体" w:asciiTheme="majorEastAsia" w:hAnsiTheme="majorEastAsia" w:eastAsiaTheme="majorEastAsia"/>
        </w:rPr>
      </w:pPr>
    </w:p>
    <w:p>
      <w:pPr>
        <w:spacing w:after="156" w:afterLines="50" w:line="360" w:lineRule="auto"/>
        <w:ind w:firstLine="480" w:firstLineChars="200"/>
        <w:rPr>
          <w:rFonts w:hint="eastAsia" w:cs="宋体" w:asciiTheme="majorEastAsia" w:hAnsiTheme="majorEastAsia" w:eastAsiaTheme="majorEastAsia"/>
        </w:rPr>
      </w:pPr>
    </w:p>
    <w:p>
      <w:pPr>
        <w:spacing w:after="156" w:afterLines="50" w:line="360" w:lineRule="auto"/>
        <w:ind w:firstLine="480" w:firstLineChars="200"/>
        <w:rPr>
          <w:rFonts w:hint="eastAsia" w:cs="宋体" w:asciiTheme="majorEastAsia" w:hAnsiTheme="majorEastAsia" w:eastAsiaTheme="majorEastAsia"/>
        </w:rPr>
      </w:pPr>
    </w:p>
    <w:p>
      <w:pPr>
        <w:spacing w:after="156" w:afterLines="50" w:line="360" w:lineRule="auto"/>
        <w:ind w:firstLine="480" w:firstLineChars="200"/>
        <w:rPr>
          <w:rFonts w:hint="eastAsia" w:cs="宋体" w:asciiTheme="majorEastAsia" w:hAnsiTheme="majorEastAsia" w:eastAsiaTheme="majorEastAsia"/>
        </w:rPr>
      </w:pPr>
    </w:p>
    <w:p>
      <w:pPr>
        <w:spacing w:after="156" w:afterLines="50" w:line="360" w:lineRule="auto"/>
        <w:ind w:firstLine="480" w:firstLineChars="200"/>
        <w:rPr>
          <w:rFonts w:hint="eastAsia" w:cs="宋体" w:asciiTheme="majorEastAsia" w:hAnsiTheme="majorEastAsia" w:eastAsiaTheme="majorEastAsia"/>
        </w:rPr>
      </w:pPr>
    </w:p>
    <w:p>
      <w:pPr>
        <w:spacing w:after="156" w:afterLines="50" w:line="360" w:lineRule="auto"/>
        <w:ind w:firstLine="480" w:firstLineChars="200"/>
        <w:rPr>
          <w:rFonts w:hint="eastAsia" w:cs="宋体" w:asciiTheme="majorEastAsia" w:hAnsiTheme="majorEastAsia" w:eastAsiaTheme="majorEastAsia"/>
        </w:rPr>
      </w:pPr>
    </w:p>
    <w:p>
      <w:pPr>
        <w:spacing w:after="156" w:afterLines="50" w:line="360" w:lineRule="auto"/>
        <w:ind w:firstLine="480" w:firstLineChars="200"/>
        <w:rPr>
          <w:rFonts w:hint="eastAsia" w:cs="宋体" w:asciiTheme="majorEastAsia" w:hAnsiTheme="majorEastAsia" w:eastAsiaTheme="majorEastAsia"/>
        </w:rPr>
      </w:pPr>
    </w:p>
    <w:p>
      <w:pPr>
        <w:spacing w:after="156" w:afterLines="50" w:line="360" w:lineRule="auto"/>
        <w:ind w:firstLine="480" w:firstLineChars="200"/>
        <w:rPr>
          <w:rFonts w:hint="eastAsia" w:cs="宋体" w:asciiTheme="majorEastAsia" w:hAnsiTheme="majorEastAsia" w:eastAsiaTheme="majorEastAsia"/>
        </w:rPr>
      </w:pPr>
    </w:p>
    <w:p>
      <w:pPr>
        <w:spacing w:after="156" w:afterLines="50" w:line="360" w:lineRule="auto"/>
        <w:ind w:firstLine="480" w:firstLineChars="200"/>
        <w:rPr>
          <w:rFonts w:hint="eastAsia" w:cs="宋体" w:asciiTheme="majorEastAsia" w:hAnsiTheme="majorEastAsia" w:eastAsiaTheme="majorEastAsia"/>
        </w:rPr>
      </w:pPr>
    </w:p>
    <w:p>
      <w:pPr>
        <w:spacing w:after="156" w:afterLines="50" w:line="360" w:lineRule="auto"/>
        <w:ind w:firstLine="480" w:firstLineChars="200"/>
        <w:rPr>
          <w:rFonts w:hint="eastAsia" w:cs="宋体" w:asciiTheme="majorEastAsia" w:hAnsiTheme="majorEastAsia" w:eastAsiaTheme="majorEastAsia"/>
        </w:rPr>
      </w:pPr>
    </w:p>
    <w:p>
      <w:pPr>
        <w:spacing w:after="156" w:afterLines="50" w:line="360" w:lineRule="auto"/>
        <w:ind w:firstLine="480" w:firstLineChars="200"/>
        <w:rPr>
          <w:rFonts w:hint="eastAsia" w:cs="宋体" w:asciiTheme="majorEastAsia" w:hAnsiTheme="majorEastAsia" w:eastAsiaTheme="majorEastAsia"/>
        </w:rPr>
      </w:pPr>
    </w:p>
    <w:p>
      <w:pPr>
        <w:pStyle w:val="2"/>
        <w:keepNext w:val="0"/>
        <w:keepLines w:val="0"/>
        <w:pageBreakBefore w:val="0"/>
        <w:widowControl/>
        <w:numPr>
          <w:ilvl w:val="0"/>
          <w:numId w:val="0"/>
        </w:numPr>
        <w:kinsoku/>
        <w:wordWrap/>
        <w:overflowPunct/>
        <w:topLinePunct w:val="0"/>
        <w:autoSpaceDE/>
        <w:autoSpaceDN/>
        <w:bidi w:val="0"/>
        <w:adjustRightInd/>
        <w:snapToGrid/>
        <w:spacing w:after="157" w:afterLines="50" w:line="360" w:lineRule="auto"/>
        <w:ind w:firstLine="482" w:firstLineChars="200"/>
        <w:textAlignment w:val="auto"/>
        <w:rPr>
          <w:rFonts w:hint="eastAsia"/>
        </w:rPr>
      </w:pPr>
      <w:bookmarkStart w:id="714" w:name="_Toc26500"/>
      <w:r>
        <w:rPr>
          <w:rFonts w:hint="eastAsia" w:cs="宋体" w:asciiTheme="majorEastAsia" w:hAnsiTheme="majorEastAsia" w:eastAsiaTheme="majorEastAsia"/>
          <w:b/>
          <w:bCs/>
          <w:sz w:val="24"/>
          <w:szCs w:val="24"/>
          <w:lang w:val="en-US" w:eastAsia="zh-CN" w:bidi="ar-SA"/>
        </w:rPr>
        <w:t>134.</w:t>
      </w:r>
      <w:r>
        <w:rPr>
          <w:rFonts w:hint="eastAsia"/>
        </w:rPr>
        <w:t>《国家金融监督管理总局关于做好续贷工作提高小微企业金融服务水平的通知》</w:t>
      </w:r>
      <w:bookmarkEnd w:id="714"/>
      <w:r>
        <w:rPr>
          <w:rFonts w:hint="eastAsia"/>
        </w:rPr>
        <w:tab/>
      </w:r>
    </w:p>
    <w:p>
      <w:pPr>
        <w:keepNext w:val="0"/>
        <w:keepLines w:val="0"/>
        <w:pageBreakBefore w:val="0"/>
        <w:widowControl/>
        <w:numPr>
          <w:ilvl w:val="0"/>
          <w:numId w:val="0"/>
        </w:numPr>
        <w:kinsoku/>
        <w:wordWrap/>
        <w:overflowPunct/>
        <w:topLinePunct w:val="0"/>
        <w:autoSpaceDE/>
        <w:autoSpaceDN/>
        <w:bidi w:val="0"/>
        <w:adjustRightInd/>
        <w:snapToGrid/>
        <w:spacing w:after="157" w:afterLines="50" w:line="360" w:lineRule="auto"/>
        <w:ind w:firstLine="480" w:firstLineChars="200"/>
        <w:textAlignment w:val="auto"/>
        <w:outlineLvl w:val="9"/>
        <w:rPr>
          <w:rFonts w:hint="eastAsia"/>
          <w:b w:val="0"/>
          <w:bCs w:val="0"/>
          <w:lang w:val="en-US" w:eastAsia="zh-CN"/>
        </w:rPr>
      </w:pPr>
      <w:r>
        <w:rPr>
          <w:rFonts w:hint="eastAsia"/>
          <w:b w:val="0"/>
          <w:bCs w:val="0"/>
          <w:lang w:val="en-US" w:eastAsia="zh-CN"/>
        </w:rPr>
        <w:t xml:space="preserve">发文机构：国家金融监督管理总局                </w:t>
      </w:r>
    </w:p>
    <w:p>
      <w:pPr>
        <w:keepNext w:val="0"/>
        <w:keepLines w:val="0"/>
        <w:pageBreakBefore w:val="0"/>
        <w:widowControl/>
        <w:numPr>
          <w:ilvl w:val="0"/>
          <w:numId w:val="0"/>
        </w:numPr>
        <w:kinsoku/>
        <w:wordWrap/>
        <w:overflowPunct/>
        <w:topLinePunct w:val="0"/>
        <w:autoSpaceDE/>
        <w:autoSpaceDN/>
        <w:bidi w:val="0"/>
        <w:adjustRightInd/>
        <w:snapToGrid/>
        <w:spacing w:after="157" w:afterLines="50" w:line="360" w:lineRule="auto"/>
        <w:ind w:firstLine="480" w:firstLineChars="200"/>
        <w:textAlignment w:val="auto"/>
        <w:outlineLvl w:val="9"/>
        <w:rPr>
          <w:rFonts w:hint="eastAsia"/>
          <w:b w:val="0"/>
          <w:bCs w:val="0"/>
          <w:lang w:val="en-US" w:eastAsia="zh-CN"/>
        </w:rPr>
      </w:pPr>
      <w:r>
        <w:rPr>
          <w:rFonts w:hint="eastAsia"/>
          <w:b w:val="0"/>
          <w:bCs w:val="0"/>
          <w:lang w:val="en-US" w:eastAsia="zh-CN"/>
        </w:rPr>
        <w:t>文号：金规〔2024〕13号</w:t>
      </w:r>
    </w:p>
    <w:p>
      <w:pPr>
        <w:keepNext w:val="0"/>
        <w:keepLines w:val="0"/>
        <w:pageBreakBefore w:val="0"/>
        <w:widowControl/>
        <w:kinsoku/>
        <w:wordWrap/>
        <w:overflowPunct/>
        <w:topLinePunct w:val="0"/>
        <w:autoSpaceDE/>
        <w:autoSpaceDN/>
        <w:bidi w:val="0"/>
        <w:adjustRightInd/>
        <w:snapToGrid/>
        <w:spacing w:after="157" w:afterLines="50" w:line="360" w:lineRule="auto"/>
        <w:ind w:firstLine="480" w:firstLineChars="200"/>
        <w:textAlignment w:val="auto"/>
        <w:outlineLvl w:val="9"/>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国家金融监督管理总局关于做好续贷工作提高小微企业金融服务水平的通知各金融监管局,各政策性银行、大型银行、股份制银行、外资银行、金融资产管理公司:</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为深入贯彻落实党的二十届三中全会和中央金融工作会议、中央经济工作会议精神,进一步做好续贷工作,切实提升小微企业金融服务质量,现就有关事项通知如下:</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优化贷款服务模式。银行业金融机构应当根据小微企业生产经营特点、风险状况和偿付能力等因素,优化贷款服务模式,合理设置贷款期限,丰富还款结息方式,扩大信贷资金覆盖面。持续开发续贷产品,完善续贷产品功能,并建立健全相关管理机制。可以办理续期的贷款产品包括小微企业流动资金贷款和小微企业主、个体工商户及农户经营性贷款等。</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加大续贷支持力度。对贷款到期后仍有融资需求,又临时存在资金困难的债务人,在贷款到期前经其主动申请,银行业金融机构按照市场化、法治化原则,可以提前开展贷款调查和评审,经审核合格后办理续贷。银行业金融机构同意续贷的,应当在原贷款到期前与小微企业签订新的借款合同,需要担保的签订新的担保合同,落实借款条件,通过新发放贷款结清已有贷款等形式,允许小微企业继续使用贷款资金。</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三、合理确定续期贷款风险分类。银行业金融机构对小微企业续贷的,应当按照金融资产风险分类的原则和标准,考虑借款人的履约能力、担保等因素,确定续期贷款的风险分类。原贷款为正常类,且借款人符合下列条件的,不因续贷单独下调风险分类,可以归为正常类:</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(一)依法合规经营;</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(二)生产经营正常,具有持续经营能力;</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(三)信用状况良好,还款意愿强,没有挪用贷款资金、欠息和逃废债等不良行为;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(四)符合发放贷款标准;</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(五)银行业金融机构要求的其他条件。</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对不符合本条前款规定的续期贷款,银行业金融机构应当根据借款人偿债能力等因素开展风险分类,真实、准确反映金融资产质量。</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四、加强续期贷款风险管理。银行业金融机构应当按照风险为本的原则,制定续贷管理制度,建立业务操作流程,明确客户准入和业务授权标准,合理设计和完善借款合同与担保合同等配套文件。银行业金融机构应当多渠道掌握小微企业经营情况和续贷资产相关信息,防止小微企业利用续贷隐瞒真实经营与财务状况或者短贷长用、改变贷款用途。切实加大对续贷贷款的贷后管理力度,及时做好风险评估和风险预警。加强对续贷业务的内部控制,在信贷系统中单独标识续贷贷款,建立对续贷业务的监测分析机制,防止通过续贷人为操纵贷款风险分类,掩盖贷款的真实风险状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五、完善尽职免责机制。银行业金融机构应当建立健全贷款尽职免责机制,完善内部制度,规范工作流程,并将不良容忍与绩效考核、尽职免责有机结合,切实为信贷人员松绑减负,有效保护信贷人员的积极性,真正实现“应免尽免”。统筹考虑履职过程、履职结果和损失程度等因素,明确信贷业务不同岗位、不同类型产品的尽职认定标准,细化免责情形,畅通异议申诉渠道,提升责任认定效率。</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六、提升融资服务水平。银行业金融机构应当贯彻落实金融支持实体经济发展的要求,加大小微金融投入,提升融资对接力度,切实增强小微企业金融服务获得感。根据小微企业客户的实际需求,改进业务流程,积极提升金融服务水平,推动小微企业高质量发展。</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七、阶段性拓展适用对象。对2027年9月30日前到期的中型企业流动资金贷款,银行业金融机构可以根据自身风险管控水平和信贷管理制度,比照小微企业续贷相关要求提供续贷支持。</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本通知由国家金融监督管理总局负责解释。自本通知印发之日起,《中国银监会关于完善和创新小微企业贷款服务提高小微企业金融服务水平的通知》(银监发〔2014〕36号)废止。</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righ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国家金融监督管理总局</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righ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2024年9月24日</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lang w:val="en-US" w:eastAsia="zh-CN"/>
        </w:rPr>
      </w:pP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rPr>
          <w:rFonts w:hint="eastAsia" w:asciiTheme="minorEastAsia" w:hAnsiTheme="minorEastAsia" w:eastAsiaTheme="minorEastAsia" w:cstheme="minorEastAsia"/>
        </w:rPr>
      </w:pPr>
    </w:p>
    <w:p>
      <w:pPr>
        <w:keepNext w:val="0"/>
        <w:keepLines w:val="0"/>
        <w:pageBreakBefore w:val="0"/>
        <w:widowControl/>
        <w:kinsoku/>
        <w:wordWrap/>
        <w:overflowPunct/>
        <w:topLinePunct w:val="0"/>
        <w:autoSpaceDE/>
        <w:autoSpaceDN/>
        <w:bidi w:val="0"/>
        <w:adjustRightInd/>
        <w:snapToGrid/>
        <w:spacing w:after="156" w:afterLines="50" w:line="360" w:lineRule="auto"/>
        <w:ind w:firstLine="480" w:firstLineChars="200"/>
        <w:textAlignment w:val="auto"/>
        <w:rPr>
          <w:rFonts w:hint="eastAsia" w:asciiTheme="minorEastAsia" w:hAnsiTheme="minorEastAsia" w:eastAsiaTheme="minorEastAsia" w:cstheme="minorEastAsia"/>
        </w:rPr>
      </w:pPr>
    </w:p>
    <w:sectPr>
      <w:endnotePr>
        <w:numFmt w:val="decimal"/>
      </w:endnote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r>
                            <w:t>/</w:t>
                          </w:r>
                          <w:r>
                            <w:fldChar w:fldCharType="begin"/>
                          </w:r>
                          <w:r>
                            <w:instrText xml:space="preserve"> NUMPAGES  \* MERGEFORMAT </w:instrText>
                          </w:r>
                          <w:r>
                            <w:fldChar w:fldCharType="separate"/>
                          </w:r>
                          <w:r>
                            <w:t>602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r>
                      <w:t>/</w:t>
                    </w:r>
                    <w:r>
                      <w:fldChar w:fldCharType="begin"/>
                    </w:r>
                    <w:r>
                      <w:instrText xml:space="preserve"> NUMPAGES  \* MERGEFORMAT </w:instrText>
                    </w:r>
                    <w:r>
                      <w:fldChar w:fldCharType="separate"/>
                    </w:r>
                    <w:r>
                      <w:t>602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400</w:t>
                          </w:r>
                          <w:r>
                            <w:fldChar w:fldCharType="end"/>
                          </w:r>
                          <w:r>
                            <w:t>/</w:t>
                          </w:r>
                          <w:r>
                            <w:fldChar w:fldCharType="begin"/>
                          </w:r>
                          <w:r>
                            <w:instrText xml:space="preserve"> NUMPAGES  \* MERGEFORMAT </w:instrText>
                          </w:r>
                          <w:r>
                            <w:fldChar w:fldCharType="separate"/>
                          </w:r>
                          <w:r>
                            <w:t>602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400</w:t>
                    </w:r>
                    <w:r>
                      <w:fldChar w:fldCharType="end"/>
                    </w:r>
                    <w:r>
                      <w:t>/</w:t>
                    </w:r>
                    <w:r>
                      <w:fldChar w:fldCharType="begin"/>
                    </w:r>
                    <w:r>
                      <w:instrText xml:space="preserve"> NUMPAGES  \* MERGEFORMAT </w:instrText>
                    </w:r>
                    <w:r>
                      <w:fldChar w:fldCharType="separate"/>
                    </w:r>
                    <w:r>
                      <w:t>602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rPr>
        <w:rFonts w:ascii="Times New Roman" w:hAnsi="Times New Roman" w:eastAsia="宋体"/>
        <w:kern w:val="2"/>
        <w:sz w:val="18"/>
        <w:szCs w:val="20"/>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435</w:t>
                          </w:r>
                          <w:r>
                            <w:fldChar w:fldCharType="end"/>
                          </w:r>
                          <w:r>
                            <w:t>/</w:t>
                          </w:r>
                          <w:r>
                            <w:fldChar w:fldCharType="begin"/>
                          </w:r>
                          <w:r>
                            <w:instrText xml:space="preserve"> NUMPAGES  \* MERGEFORMAT </w:instrText>
                          </w:r>
                          <w:r>
                            <w:fldChar w:fldCharType="separate"/>
                          </w:r>
                          <w:r>
                            <w:t>602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435</w:t>
                    </w:r>
                    <w:r>
                      <w:fldChar w:fldCharType="end"/>
                    </w:r>
                    <w:r>
                      <w:t>/</w:t>
                    </w:r>
                    <w:r>
                      <w:fldChar w:fldCharType="begin"/>
                    </w:r>
                    <w:r>
                      <w:instrText xml:space="preserve"> NUMPAGES  \* MERGEFORMAT </w:instrText>
                    </w:r>
                    <w:r>
                      <w:fldChar w:fldCharType="separate"/>
                    </w:r>
                    <w:r>
                      <w:t>602</w:t>
                    </w:r>
                    <w:r>
                      <w:fldChar w:fldCharType="end"/>
                    </w:r>
                  </w:p>
                </w:txbxContent>
              </v:textbox>
            </v:shape>
          </w:pict>
        </mc:Fallback>
      </mc:AlternateContent>
    </w:r>
    <w:r>
      <w:rPr>
        <w:rFonts w:ascii="Times New Roman" w:hAnsi="Times New Roman" w:eastAsia="宋体"/>
        <w:kern w:val="2"/>
        <w:sz w:val="18"/>
        <w:szCs w:val="20"/>
      </w:rPr>
      <mc:AlternateContent>
        <mc:Choice Requires="wps">
          <w:drawing>
            <wp:anchor distT="0" distB="0" distL="114300" distR="114300" simplePos="0" relativeHeight="251659264" behindDoc="0" locked="0" layoutInCell="1" allowOverlap="1">
              <wp:simplePos x="0" y="0"/>
              <wp:positionH relativeFrom="margin">
                <wp:posOffset>0</wp:posOffset>
              </wp:positionH>
              <wp:positionV relativeFrom="paragraph">
                <wp:posOffset>0</wp:posOffset>
              </wp:positionV>
              <wp:extent cx="1828800" cy="1828800"/>
              <wp:effectExtent l="0" t="0" r="0" b="0"/>
              <wp:wrapNone/>
              <wp:docPr id="7" name="矩形 7"/>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widowControl w:val="0"/>
                            <w:snapToGrid w:val="0"/>
                            <w:jc w:val="both"/>
                            <w:rPr>
                              <w:rFonts w:ascii="Times New Roman" w:hAnsi="Times New Roman" w:eastAsia="宋体"/>
                              <w:kern w:val="2"/>
                              <w:sz w:val="18"/>
                              <w:szCs w:val="20"/>
                            </w:rPr>
                          </w:pPr>
                        </w:p>
                      </w:txbxContent>
                    </wps:txbx>
                    <wps:bodyPr lIns="0" tIns="0" rIns="0" bIns="0" upright="1"/>
                  </wps:wsp>
                </a:graphicData>
              </a:graphic>
            </wp:anchor>
          </w:drawing>
        </mc:Choice>
        <mc:Fallback>
          <w:pict>
            <v:rect id="_x0000_s1026" o:spid="_x0000_s1026" o:spt="1" style="position:absolute;left:0pt;margin-left:0pt;margin-top:0pt;height:144pt;width:144pt;mso-position-horizontal-relative:margin;z-index:251659264;mso-width-relative:page;mso-height-relative:page;" filled="f" stroked="f" coordsize="21600,21600" o:gfxdata="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Wa2Y8tMAAAAFAQAA&#10;DwAAAAAAAAABACAAAAAiAAAAZHJzL2Rvd25yZXYueG1sUEsBAhQAFAAAAAgAh07iQPgnX9WsAQAA&#10;ZgMAAA4AAAAAAAAAAQAgAAAAIgEAAGRycy9lMm9Eb2MueG1sUEsFBgAAAAAGAAYAWQEAAEAFAAAA&#10;AA==&#10;">
              <v:fill on="f" focussize="0,0"/>
              <v:stroke on="f"/>
              <v:imagedata o:title=""/>
              <o:lock v:ext="edit" aspectratio="f"/>
              <v:textbox inset="0mm,0mm,0mm,0mm">
                <w:txbxContent>
                  <w:p>
                    <w:pPr>
                      <w:widowControl w:val="0"/>
                      <w:snapToGrid w:val="0"/>
                      <w:jc w:val="both"/>
                      <w:rPr>
                        <w:rFonts w:ascii="Times New Roman" w:hAnsi="Times New Roman" w:eastAsia="宋体"/>
                        <w:kern w:val="2"/>
                        <w:sz w:val="18"/>
                        <w:szCs w:val="20"/>
                      </w:rPr>
                    </w:pP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none" w:color="auto" w:sz="0" w:space="0"/>
        <w:left w:val="none" w:color="auto" w:sz="0" w:space="0"/>
        <w:bottom w:val="none" w:color="auto" w:sz="0" w:space="0"/>
        <w:right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AF1B89"/>
    <w:multiLevelType w:val="multilevel"/>
    <w:tmpl w:val="02AF1B89"/>
    <w:lvl w:ilvl="0" w:tentative="0">
      <w:start w:val="1"/>
      <w:numFmt w:val="decimal"/>
      <w:pStyle w:val="2"/>
      <w:lvlText w:val="%1."/>
      <w:lvlJc w:val="left"/>
      <w:pPr>
        <w:ind w:left="922" w:hanging="440"/>
      </w:p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RiYTQ1MmU1MmExNzczMjEyMTMzMWU2NjQyMzE4ODEifQ=="/>
  </w:docVars>
  <w:rsids>
    <w:rsidRoot w:val="00AF17B0"/>
    <w:rsid w:val="001C3C01"/>
    <w:rsid w:val="00281BC7"/>
    <w:rsid w:val="00414941"/>
    <w:rsid w:val="00486604"/>
    <w:rsid w:val="004B3DC7"/>
    <w:rsid w:val="004D3D29"/>
    <w:rsid w:val="0051793E"/>
    <w:rsid w:val="005920D6"/>
    <w:rsid w:val="006F5BE0"/>
    <w:rsid w:val="00790067"/>
    <w:rsid w:val="007C650E"/>
    <w:rsid w:val="007D7359"/>
    <w:rsid w:val="00816131"/>
    <w:rsid w:val="00836913"/>
    <w:rsid w:val="00847DC5"/>
    <w:rsid w:val="008A2823"/>
    <w:rsid w:val="008F3F5D"/>
    <w:rsid w:val="00980988"/>
    <w:rsid w:val="00A32B6E"/>
    <w:rsid w:val="00AC1038"/>
    <w:rsid w:val="00AF17B0"/>
    <w:rsid w:val="00B31D5B"/>
    <w:rsid w:val="00B73DC5"/>
    <w:rsid w:val="00C04268"/>
    <w:rsid w:val="00C84054"/>
    <w:rsid w:val="00CB710F"/>
    <w:rsid w:val="00CC613E"/>
    <w:rsid w:val="00CE33E4"/>
    <w:rsid w:val="00D10A2B"/>
    <w:rsid w:val="00D61F0D"/>
    <w:rsid w:val="00DF00A7"/>
    <w:rsid w:val="00E0430F"/>
    <w:rsid w:val="00ED2204"/>
    <w:rsid w:val="00F77FD0"/>
    <w:rsid w:val="00F82040"/>
    <w:rsid w:val="01791910"/>
    <w:rsid w:val="02BB4067"/>
    <w:rsid w:val="041116DA"/>
    <w:rsid w:val="04366AF4"/>
    <w:rsid w:val="0451447E"/>
    <w:rsid w:val="048F6C28"/>
    <w:rsid w:val="04943238"/>
    <w:rsid w:val="04B213C1"/>
    <w:rsid w:val="04E23328"/>
    <w:rsid w:val="04E51C95"/>
    <w:rsid w:val="056E36D4"/>
    <w:rsid w:val="06EC048E"/>
    <w:rsid w:val="06FD42E7"/>
    <w:rsid w:val="07660241"/>
    <w:rsid w:val="083764FC"/>
    <w:rsid w:val="087E4A28"/>
    <w:rsid w:val="08A6633C"/>
    <w:rsid w:val="095E53F8"/>
    <w:rsid w:val="0AB3379D"/>
    <w:rsid w:val="0ACE4A7B"/>
    <w:rsid w:val="0B691F07"/>
    <w:rsid w:val="0B733189"/>
    <w:rsid w:val="0CAE14FB"/>
    <w:rsid w:val="100920B1"/>
    <w:rsid w:val="10D73F5D"/>
    <w:rsid w:val="11B5604C"/>
    <w:rsid w:val="12624D49"/>
    <w:rsid w:val="126D2DCB"/>
    <w:rsid w:val="15477063"/>
    <w:rsid w:val="15F1577D"/>
    <w:rsid w:val="16050EDE"/>
    <w:rsid w:val="18787CD1"/>
    <w:rsid w:val="19A73191"/>
    <w:rsid w:val="1AD95E91"/>
    <w:rsid w:val="1B354E21"/>
    <w:rsid w:val="1D001FED"/>
    <w:rsid w:val="1D07777A"/>
    <w:rsid w:val="1E162569"/>
    <w:rsid w:val="1E3B0933"/>
    <w:rsid w:val="1EA14212"/>
    <w:rsid w:val="208C582B"/>
    <w:rsid w:val="21837F15"/>
    <w:rsid w:val="218F456A"/>
    <w:rsid w:val="22121299"/>
    <w:rsid w:val="23263336"/>
    <w:rsid w:val="2516749D"/>
    <w:rsid w:val="264A058A"/>
    <w:rsid w:val="268B33C8"/>
    <w:rsid w:val="286D1271"/>
    <w:rsid w:val="28DA4766"/>
    <w:rsid w:val="298773E9"/>
    <w:rsid w:val="2AA643AC"/>
    <w:rsid w:val="2ADC41F2"/>
    <w:rsid w:val="2BBC59D3"/>
    <w:rsid w:val="2C2E744E"/>
    <w:rsid w:val="2C972AC7"/>
    <w:rsid w:val="2E034263"/>
    <w:rsid w:val="2E60513A"/>
    <w:rsid w:val="2E894691"/>
    <w:rsid w:val="2EB72ED4"/>
    <w:rsid w:val="316F4012"/>
    <w:rsid w:val="319121DA"/>
    <w:rsid w:val="31D43E75"/>
    <w:rsid w:val="32B33C46"/>
    <w:rsid w:val="32D303D9"/>
    <w:rsid w:val="337C6572"/>
    <w:rsid w:val="34571F2B"/>
    <w:rsid w:val="34D90058"/>
    <w:rsid w:val="35291AEF"/>
    <w:rsid w:val="357A2B0C"/>
    <w:rsid w:val="372F1B4E"/>
    <w:rsid w:val="37643EED"/>
    <w:rsid w:val="39291058"/>
    <w:rsid w:val="3AAB0E77"/>
    <w:rsid w:val="3BEB40E5"/>
    <w:rsid w:val="3C797AF3"/>
    <w:rsid w:val="3C982B28"/>
    <w:rsid w:val="3CC2510B"/>
    <w:rsid w:val="3CCB3994"/>
    <w:rsid w:val="3D05330B"/>
    <w:rsid w:val="3DD93E2D"/>
    <w:rsid w:val="3E1D4268"/>
    <w:rsid w:val="3EDB73BB"/>
    <w:rsid w:val="3F2E701D"/>
    <w:rsid w:val="40786313"/>
    <w:rsid w:val="408D4932"/>
    <w:rsid w:val="412070D7"/>
    <w:rsid w:val="43273C02"/>
    <w:rsid w:val="44E3793A"/>
    <w:rsid w:val="45A030CC"/>
    <w:rsid w:val="45B02FAA"/>
    <w:rsid w:val="466038DA"/>
    <w:rsid w:val="482D3E87"/>
    <w:rsid w:val="490C1CEF"/>
    <w:rsid w:val="49995C78"/>
    <w:rsid w:val="4AA70A08"/>
    <w:rsid w:val="4AC05487"/>
    <w:rsid w:val="4B571947"/>
    <w:rsid w:val="4B8F5DC2"/>
    <w:rsid w:val="4C17236E"/>
    <w:rsid w:val="4C3F7559"/>
    <w:rsid w:val="4CFC4F29"/>
    <w:rsid w:val="4DBA6560"/>
    <w:rsid w:val="4F022C1A"/>
    <w:rsid w:val="502E2B4B"/>
    <w:rsid w:val="507A1C34"/>
    <w:rsid w:val="50AA59E4"/>
    <w:rsid w:val="51273B6A"/>
    <w:rsid w:val="520E6AD8"/>
    <w:rsid w:val="5269386D"/>
    <w:rsid w:val="52F83A10"/>
    <w:rsid w:val="53C90F08"/>
    <w:rsid w:val="54671F13"/>
    <w:rsid w:val="54896B4F"/>
    <w:rsid w:val="561F7505"/>
    <w:rsid w:val="566413BC"/>
    <w:rsid w:val="566F0D4B"/>
    <w:rsid w:val="568D66C8"/>
    <w:rsid w:val="56C824D9"/>
    <w:rsid w:val="56DA3153"/>
    <w:rsid w:val="56E93DF7"/>
    <w:rsid w:val="57A00CC2"/>
    <w:rsid w:val="59044F38"/>
    <w:rsid w:val="598D29D8"/>
    <w:rsid w:val="5AFA708A"/>
    <w:rsid w:val="5B035BEF"/>
    <w:rsid w:val="5BD4669C"/>
    <w:rsid w:val="5C594DF3"/>
    <w:rsid w:val="5F6030FF"/>
    <w:rsid w:val="5F8538FA"/>
    <w:rsid w:val="60ED54D3"/>
    <w:rsid w:val="61A02F00"/>
    <w:rsid w:val="62255052"/>
    <w:rsid w:val="623205C0"/>
    <w:rsid w:val="63163D94"/>
    <w:rsid w:val="63965DBD"/>
    <w:rsid w:val="64A248D4"/>
    <w:rsid w:val="64AF414A"/>
    <w:rsid w:val="64E97686"/>
    <w:rsid w:val="663161AF"/>
    <w:rsid w:val="67E014EA"/>
    <w:rsid w:val="67F74DE2"/>
    <w:rsid w:val="67FD21C3"/>
    <w:rsid w:val="683E7CBF"/>
    <w:rsid w:val="68914293"/>
    <w:rsid w:val="6897117D"/>
    <w:rsid w:val="68AB4C28"/>
    <w:rsid w:val="68DD74D8"/>
    <w:rsid w:val="69E71F70"/>
    <w:rsid w:val="6A33169E"/>
    <w:rsid w:val="6AFB6504"/>
    <w:rsid w:val="6B217424"/>
    <w:rsid w:val="6CE34991"/>
    <w:rsid w:val="6D167045"/>
    <w:rsid w:val="6DCC513C"/>
    <w:rsid w:val="6E7B6E4B"/>
    <w:rsid w:val="6F337EF2"/>
    <w:rsid w:val="6FB604F8"/>
    <w:rsid w:val="72DC5CAF"/>
    <w:rsid w:val="74B17D13"/>
    <w:rsid w:val="761D53B8"/>
    <w:rsid w:val="78016A44"/>
    <w:rsid w:val="785D5F3F"/>
    <w:rsid w:val="78787446"/>
    <w:rsid w:val="79324479"/>
    <w:rsid w:val="794A01AB"/>
    <w:rsid w:val="79F3749D"/>
    <w:rsid w:val="7B555980"/>
    <w:rsid w:val="7BBA0FB3"/>
    <w:rsid w:val="7C417926"/>
    <w:rsid w:val="7C7E26E8"/>
    <w:rsid w:val="7CD40F40"/>
    <w:rsid w:val="7F8F40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cs="Times New Roman" w:asciiTheme="minorHAnsi" w:hAnsiTheme="minorHAnsi" w:eastAsiaTheme="minorEastAsia"/>
      <w:sz w:val="24"/>
      <w:szCs w:val="24"/>
      <w:lang w:val="en-US" w:eastAsia="zh-CN" w:bidi="ar-SA"/>
    </w:rPr>
  </w:style>
  <w:style w:type="paragraph" w:styleId="2">
    <w:name w:val="heading 1"/>
    <w:basedOn w:val="3"/>
    <w:next w:val="1"/>
    <w:qFormat/>
    <w:uiPriority w:val="0"/>
    <w:pPr>
      <w:numPr>
        <w:ilvl w:val="0"/>
        <w:numId w:val="1"/>
      </w:numPr>
      <w:spacing w:after="156" w:afterLines="50" w:line="360" w:lineRule="auto"/>
      <w:ind w:firstLineChars="0"/>
      <w:outlineLvl w:val="0"/>
    </w:pPr>
    <w:rPr>
      <w:rFonts w:cs="宋体" w:asciiTheme="majorEastAsia" w:hAnsiTheme="majorEastAsia" w:eastAsiaTheme="majorEastAsia"/>
      <w:b/>
      <w:bCs/>
    </w:rPr>
  </w:style>
  <w:style w:type="paragraph" w:styleId="4">
    <w:name w:val="heading 2"/>
    <w:next w:val="1"/>
    <w:qFormat/>
    <w:uiPriority w:val="0"/>
    <w:pPr>
      <w:keepNext/>
      <w:keepLines/>
      <w:widowControl w:val="0"/>
      <w:spacing w:before="260" w:after="260" w:line="415" w:lineRule="auto"/>
      <w:jc w:val="both"/>
      <w:outlineLvl w:val="1"/>
    </w:pPr>
    <w:rPr>
      <w:rFonts w:ascii="等线 Light" w:hAnsi="等线 Light" w:eastAsia="等线 Light" w:cs="等线 Light"/>
      <w:b/>
      <w:bCs/>
      <w:kern w:val="2"/>
      <w:sz w:val="32"/>
      <w:szCs w:val="32"/>
      <w:lang w:val="en-US" w:eastAsia="zh-CN" w:bidi="ar-SA"/>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List Paragraph"/>
    <w:basedOn w:val="1"/>
    <w:unhideWhenUsed/>
    <w:qFormat/>
    <w:uiPriority w:val="99"/>
    <w:pPr>
      <w:ind w:firstLine="420" w:firstLineChars="200"/>
    </w:pPr>
  </w:style>
  <w:style w:type="paragraph" w:styleId="5">
    <w:name w:val="Body Text"/>
    <w:qFormat/>
    <w:uiPriority w:val="0"/>
    <w:pPr>
      <w:widowControl w:val="0"/>
    </w:pPr>
    <w:rPr>
      <w:rFonts w:ascii="仿宋_GB2312" w:hAnsi="仿宋_GB2312" w:eastAsia="仿宋_GB2312" w:cs="Times New Roman"/>
      <w:kern w:val="2"/>
      <w:sz w:val="32"/>
      <w:lang w:val="en-US" w:eastAsia="zh-CN" w:bidi="ar-SA"/>
    </w:rPr>
  </w:style>
  <w:style w:type="paragraph" w:styleId="6">
    <w:name w:val="Body Text Indent"/>
    <w:qFormat/>
    <w:uiPriority w:val="0"/>
    <w:pPr>
      <w:widowControl w:val="0"/>
      <w:ind w:firstLine="640" w:firstLineChars="200"/>
      <w:jc w:val="both"/>
    </w:pPr>
    <w:rPr>
      <w:rFonts w:ascii="Times New Roman" w:hAnsi="Times New Roman" w:eastAsia="仿宋_GB2312" w:cs="Times New Roman"/>
      <w:kern w:val="2"/>
      <w:sz w:val="32"/>
      <w:szCs w:val="32"/>
      <w:lang w:val="en-US" w:eastAsia="zh-CN" w:bidi="ar-SA"/>
    </w:rPr>
  </w:style>
  <w:style w:type="paragraph" w:styleId="7">
    <w:name w:val="List 2"/>
    <w:qFormat/>
    <w:uiPriority w:val="0"/>
    <w:pPr>
      <w:widowControl w:val="0"/>
      <w:ind w:left="840" w:hanging="420"/>
      <w:jc w:val="both"/>
    </w:pPr>
    <w:rPr>
      <w:rFonts w:ascii="Times New Roman" w:hAnsi="Times New Roman" w:eastAsia="宋体" w:cs="Times New Roman"/>
      <w:kern w:val="2"/>
      <w:sz w:val="21"/>
      <w:lang w:val="en-US" w:eastAsia="zh-CN" w:bidi="ar-SA"/>
    </w:rPr>
  </w:style>
  <w:style w:type="paragraph" w:styleId="8">
    <w:name w:val="Date"/>
    <w:basedOn w:val="1"/>
    <w:next w:val="1"/>
    <w:link w:val="34"/>
    <w:qFormat/>
    <w:uiPriority w:val="0"/>
    <w:pPr>
      <w:ind w:left="100" w:leftChars="2500"/>
    </w:pPr>
  </w:style>
  <w:style w:type="paragraph" w:styleId="9">
    <w:name w:val="footer"/>
    <w:qFormat/>
    <w:uiPriority w:val="0"/>
    <w:pPr>
      <w:widowControl w:val="0"/>
      <w:tabs>
        <w:tab w:val="center" w:pos="4153"/>
        <w:tab w:val="right" w:pos="8306"/>
      </w:tabs>
      <w:snapToGrid w:val="0"/>
    </w:pPr>
    <w:rPr>
      <w:rFonts w:ascii="Times New Roman" w:hAnsi="Times New Roman" w:eastAsia="宋体" w:cs="Times New Roman"/>
      <w:kern w:val="2"/>
      <w:sz w:val="18"/>
      <w:szCs w:val="18"/>
      <w:lang w:val="en-US" w:eastAsia="zh-CN" w:bidi="ar-SA"/>
    </w:rPr>
  </w:style>
  <w:style w:type="paragraph" w:styleId="10">
    <w:name w:val="header"/>
    <w:qFormat/>
    <w:uiPriority w:val="0"/>
    <w:pPr>
      <w:widowControl w:val="0"/>
      <w:pBdr>
        <w:top w:val="none" w:color="auto" w:sz="0" w:space="1"/>
        <w:left w:val="none" w:color="auto" w:sz="0" w:space="4"/>
        <w:bottom w:val="none" w:color="auto" w:sz="0" w:space="1"/>
        <w:right w:val="none" w:color="auto" w:sz="0" w:space="4"/>
      </w:pBdr>
      <w:tabs>
        <w:tab w:val="center" w:pos="4153"/>
        <w:tab w:val="right" w:pos="8306"/>
      </w:tabs>
      <w:snapToGrid w:val="0"/>
      <w:jc w:val="both"/>
    </w:pPr>
    <w:rPr>
      <w:rFonts w:ascii="Times New Roman" w:hAnsi="Times New Roman" w:eastAsia="宋体" w:cs="Times New Roman"/>
      <w:kern w:val="2"/>
      <w:sz w:val="18"/>
      <w:lang w:val="en-US" w:eastAsia="zh-CN" w:bidi="ar-SA"/>
    </w:rPr>
  </w:style>
  <w:style w:type="paragraph" w:styleId="11">
    <w:name w:val="toc 1"/>
    <w:basedOn w:val="1"/>
    <w:next w:val="1"/>
    <w:qFormat/>
    <w:uiPriority w:val="0"/>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5">
    <w:name w:val="Strong"/>
    <w:basedOn w:val="14"/>
    <w:qFormat/>
    <w:uiPriority w:val="0"/>
    <w:rPr>
      <w:b/>
    </w:rPr>
  </w:style>
  <w:style w:type="character" w:styleId="16">
    <w:name w:val="page number"/>
    <w:qFormat/>
    <w:uiPriority w:val="0"/>
  </w:style>
  <w:style w:type="character" w:styleId="17">
    <w:name w:val="Hyperlink"/>
    <w:basedOn w:val="14"/>
    <w:qFormat/>
    <w:uiPriority w:val="0"/>
    <w:rPr>
      <w:color w:val="0026E5" w:themeColor="hyperlink"/>
      <w:u w:val="single"/>
      <w14:textFill>
        <w14:solidFill>
          <w14:schemeClr w14:val="hlink"/>
        </w14:solidFill>
      </w14:textFill>
    </w:rPr>
  </w:style>
  <w:style w:type="paragraph" w:customStyle="1" w:styleId="18">
    <w:name w:val="p"/>
    <w:qFormat/>
    <w:uiPriority w:val="0"/>
    <w:pPr>
      <w:spacing w:line="390" w:lineRule="atLeast"/>
      <w:ind w:firstLine="420"/>
    </w:pPr>
    <w:rPr>
      <w:rFonts w:ascii="Times New Roman" w:hAnsi="Times New Roman" w:eastAsia="Times New Roman" w:cs="Times New Roman"/>
      <w:sz w:val="24"/>
      <w:szCs w:val="24"/>
      <w:lang w:val="en-US" w:eastAsia="zh-CN" w:bidi="ar-SA"/>
    </w:rPr>
  </w:style>
  <w:style w:type="paragraph" w:customStyle="1" w:styleId="19">
    <w:name w:val="table_p"/>
    <w:qFormat/>
    <w:uiPriority w:val="0"/>
    <w:rPr>
      <w:rFonts w:ascii="Times New Roman" w:hAnsi="Times New Roman" w:eastAsia="Times New Roman" w:cs="Times New Roman"/>
      <w:sz w:val="24"/>
      <w:szCs w:val="24"/>
      <w:lang w:val="en-US" w:eastAsia="zh-CN" w:bidi="ar-SA"/>
    </w:rPr>
  </w:style>
  <w:style w:type="table" w:customStyle="1" w:styleId="20">
    <w:name w:val="table"/>
    <w:qFormat/>
    <w:uiPriority w:val="0"/>
    <w:tblPr>
      <w:tblCellMar>
        <w:top w:w="0" w:type="dxa"/>
        <w:left w:w="0" w:type="dxa"/>
        <w:bottom w:w="0" w:type="dxa"/>
        <w:right w:w="0" w:type="dxa"/>
      </w:tblCellMar>
    </w:tblPr>
  </w:style>
  <w:style w:type="character" w:customStyle="1" w:styleId="21">
    <w:name w:val="span_sect2Title"/>
    <w:qFormat/>
    <w:uiPriority w:val="0"/>
    <w:rPr>
      <w:b/>
      <w:bCs/>
    </w:rPr>
  </w:style>
  <w:style w:type="character" w:customStyle="1" w:styleId="22">
    <w:name w:val="any"/>
    <w:qFormat/>
    <w:uiPriority w:val="0"/>
  </w:style>
  <w:style w:type="paragraph" w:customStyle="1" w:styleId="23">
    <w:name w:val="样式 标题 2 + 居中"/>
    <w:qFormat/>
    <w:uiPriority w:val="0"/>
    <w:pPr>
      <w:keepNext/>
      <w:keepLines/>
      <w:widowControl w:val="0"/>
      <w:spacing w:before="100" w:beforeAutospacing="1" w:after="100" w:afterAutospacing="1" w:line="413" w:lineRule="auto"/>
      <w:jc w:val="center"/>
      <w:outlineLvl w:val="1"/>
    </w:pPr>
    <w:rPr>
      <w:rFonts w:ascii="Arial" w:hAnsi="Arial" w:eastAsia="黑体" w:cs="Arial"/>
      <w:b/>
      <w:bCs/>
      <w:kern w:val="2"/>
      <w:sz w:val="32"/>
      <w:szCs w:val="32"/>
      <w:lang w:val="en-US" w:eastAsia="zh-CN" w:bidi="ar-SA"/>
    </w:rPr>
  </w:style>
  <w:style w:type="paragraph" w:customStyle="1" w:styleId="24">
    <w:name w:val="正文文本缩进1"/>
    <w:qFormat/>
    <w:uiPriority w:val="0"/>
    <w:pPr>
      <w:widowControl w:val="0"/>
      <w:ind w:firstLine="640" w:firstLineChars="200"/>
      <w:jc w:val="both"/>
    </w:pPr>
    <w:rPr>
      <w:rFonts w:ascii="Times New Roman" w:hAnsi="Times New Roman" w:eastAsia="仿宋_GB2312" w:cs="Times New Roman"/>
      <w:kern w:val="2"/>
      <w:sz w:val="32"/>
      <w:szCs w:val="32"/>
      <w:lang w:val="en-US" w:eastAsia="zh-CN" w:bidi="ar-SA"/>
    </w:rPr>
  </w:style>
  <w:style w:type="paragraph" w:customStyle="1" w:styleId="25">
    <w:name w:val="正文文本缩进 31"/>
    <w:qFormat/>
    <w:uiPriority w:val="0"/>
    <w:pPr>
      <w:widowControl w:val="0"/>
      <w:spacing w:after="120"/>
      <w:ind w:left="420" w:leftChars="200"/>
      <w:jc w:val="both"/>
    </w:pPr>
    <w:rPr>
      <w:rFonts w:ascii="Times New Roman" w:hAnsi="Times New Roman" w:eastAsia="宋体" w:cs="Times New Roman"/>
      <w:kern w:val="2"/>
      <w:lang w:val="en-US" w:eastAsia="zh-CN" w:bidi="ar-SA"/>
    </w:rPr>
  </w:style>
  <w:style w:type="paragraph" w:customStyle="1" w:styleId="26">
    <w:name w:val="正文文本缩进11"/>
    <w:qFormat/>
    <w:uiPriority w:val="0"/>
    <w:pPr>
      <w:widowControl w:val="0"/>
      <w:ind w:firstLine="570"/>
      <w:jc w:val="both"/>
    </w:pPr>
    <w:rPr>
      <w:rFonts w:ascii="仿宋_GB2312" w:hAnsi="Times New Roman" w:eastAsia="仿宋_GB2312" w:cs="仿宋_GB2312"/>
      <w:kern w:val="2"/>
      <w:lang w:val="en-US" w:eastAsia="zh-CN" w:bidi="ar-SA"/>
    </w:rPr>
  </w:style>
  <w:style w:type="paragraph" w:customStyle="1" w:styleId="27">
    <w:name w:val="列出段落1"/>
    <w:qFormat/>
    <w:uiPriority w:val="0"/>
    <w:pPr>
      <w:widowControl w:val="0"/>
      <w:ind w:firstLine="420" w:firstLineChars="200"/>
      <w:jc w:val="both"/>
    </w:pPr>
    <w:rPr>
      <w:rFonts w:ascii="Times New Roman" w:hAnsi="Times New Roman" w:eastAsia="宋体" w:cs="Times New Roman"/>
      <w:kern w:val="2"/>
      <w:sz w:val="21"/>
      <w:szCs w:val="21"/>
      <w:lang w:val="en-US" w:eastAsia="zh-CN" w:bidi="ar-SA"/>
    </w:rPr>
  </w:style>
  <w:style w:type="character" w:customStyle="1" w:styleId="28">
    <w:name w:val="页码1"/>
    <w:qFormat/>
    <w:uiPriority w:val="0"/>
    <w:rPr>
      <w:rFonts w:ascii="Times New Roman" w:hAnsi="Times New Roman" w:cs="Times New Roman"/>
    </w:rPr>
  </w:style>
  <w:style w:type="paragraph" w:customStyle="1" w:styleId="29">
    <w:name w:val="标题2"/>
    <w:qFormat/>
    <w:uiPriority w:val="0"/>
    <w:pPr>
      <w:keepNext/>
      <w:keepLines/>
      <w:widowControl w:val="0"/>
      <w:tabs>
        <w:tab w:val="left" w:pos="840"/>
      </w:tabs>
      <w:spacing w:before="156" w:after="156"/>
      <w:outlineLvl w:val="0"/>
    </w:pPr>
    <w:rPr>
      <w:rFonts w:ascii="楷体_GB2312" w:hAnsi="Times New Roman" w:eastAsia="楷体_GB2312" w:cs="Times New Roman"/>
      <w:color w:val="000000"/>
      <w:kern w:val="44"/>
      <w:sz w:val="44"/>
      <w:lang w:val="en-US" w:eastAsia="zh-CN" w:bidi="ar-SA"/>
    </w:rPr>
  </w:style>
  <w:style w:type="paragraph" w:customStyle="1" w:styleId="30">
    <w:name w:val="正文文本缩进 21"/>
    <w:qFormat/>
    <w:uiPriority w:val="0"/>
    <w:pPr>
      <w:widowControl w:val="0"/>
      <w:spacing w:line="500" w:lineRule="exact"/>
      <w:ind w:firstLine="560" w:firstLineChars="200"/>
      <w:jc w:val="both"/>
    </w:pPr>
    <w:rPr>
      <w:rFonts w:ascii="仿宋_GB2312" w:hAnsi="Times New Roman" w:eastAsia="仿宋_GB2312" w:cs="Times New Roman"/>
      <w:kern w:val="2"/>
      <w:sz w:val="28"/>
      <w:lang w:val="en-US" w:eastAsia="zh-CN" w:bidi="ar-SA"/>
    </w:rPr>
  </w:style>
  <w:style w:type="paragraph" w:customStyle="1" w:styleId="31">
    <w:name w:val="标题3"/>
    <w:qFormat/>
    <w:uiPriority w:val="0"/>
    <w:pPr>
      <w:keepNext/>
      <w:keepLines/>
      <w:widowControl w:val="0"/>
      <w:tabs>
        <w:tab w:val="left" w:pos="1260"/>
      </w:tabs>
      <w:spacing w:before="100" w:after="100"/>
      <w:jc w:val="both"/>
      <w:outlineLvl w:val="0"/>
    </w:pPr>
    <w:rPr>
      <w:rFonts w:ascii="仿宋_GB2312" w:hAnsi="Times New Roman" w:eastAsia="仿宋_GB2312" w:cs="Times New Roman"/>
      <w:color w:val="000000"/>
      <w:kern w:val="44"/>
      <w:sz w:val="44"/>
      <w:lang w:val="en-US" w:eastAsia="zh-CN" w:bidi="ar-SA"/>
    </w:rPr>
  </w:style>
  <w:style w:type="paragraph" w:customStyle="1" w:styleId="32">
    <w:name w:val="正文缩进1"/>
    <w:qFormat/>
    <w:uiPriority w:val="0"/>
    <w:pPr>
      <w:keepNext/>
      <w:widowControl w:val="0"/>
      <w:spacing w:line="360" w:lineRule="auto"/>
      <w:ind w:firstLine="560" w:firstLineChars="200"/>
      <w:jc w:val="both"/>
    </w:pPr>
    <w:rPr>
      <w:rFonts w:ascii="仿宋_GB2312" w:hAnsi="Times New Roman" w:eastAsia="仿宋_GB2312" w:cs="Times New Roman"/>
      <w:kern w:val="2"/>
      <w:sz w:val="28"/>
      <w:lang w:val="en-US" w:eastAsia="zh-CN" w:bidi="ar-SA"/>
    </w:rPr>
  </w:style>
  <w:style w:type="paragraph" w:customStyle="1" w:styleId="33">
    <w:name w:val="正文文本 21"/>
    <w:qFormat/>
    <w:uiPriority w:val="0"/>
    <w:pPr>
      <w:widowControl w:val="0"/>
      <w:jc w:val="both"/>
    </w:pPr>
    <w:rPr>
      <w:rFonts w:ascii="仿宋_GB2312" w:hAnsi="Times New Roman" w:eastAsia="仿宋_GB2312" w:cs="Times New Roman"/>
      <w:kern w:val="2"/>
      <w:sz w:val="28"/>
      <w:lang w:val="en-US" w:eastAsia="zh-CN" w:bidi="ar-SA"/>
    </w:rPr>
  </w:style>
  <w:style w:type="character" w:customStyle="1" w:styleId="34">
    <w:name w:val="日期 字符"/>
    <w:basedOn w:val="14"/>
    <w:link w:val="8"/>
    <w:qFormat/>
    <w:uiPriority w:val="0"/>
    <w:rPr>
      <w:rFonts w:asciiTheme="minorHAnsi" w:hAnsiTheme="minorHAnsi" w:eastAsiaTheme="minorEastAsia"/>
      <w:sz w:val="24"/>
      <w:szCs w:val="24"/>
    </w:rPr>
  </w:style>
  <w:style w:type="character" w:customStyle="1" w:styleId="35">
    <w:name w:val="Unresolved Mention"/>
    <w:basedOn w:val="14"/>
    <w:semiHidden/>
    <w:unhideWhenUsed/>
    <w:qFormat/>
    <w:uiPriority w:val="99"/>
    <w:rPr>
      <w:color w:val="605E5C"/>
      <w:shd w:val="clear" w:color="auto" w:fill="E1DFDD"/>
    </w:rPr>
  </w:style>
  <w:style w:type="paragraph" w:customStyle="1" w:styleId="36">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427671-7193-4853-B8A4-9A1F67232EBE}">
  <ds:schemaRefs/>
</ds:datastoreItem>
</file>

<file path=docProps/app.xml><?xml version="1.0" encoding="utf-8"?>
<Properties xmlns="http://schemas.openxmlformats.org/officeDocument/2006/extended-properties" xmlns:vt="http://schemas.openxmlformats.org/officeDocument/2006/docPropsVTypes">
  <Template>Normal</Template>
  <Pages>837</Pages>
  <Words>6927</Words>
  <Characters>8179</Characters>
  <Lines>3663</Lines>
  <Paragraphs>1031</Paragraphs>
  <TotalTime>15</TotalTime>
  <ScaleCrop>false</ScaleCrop>
  <LinksUpToDate>false</LinksUpToDate>
  <CharactersWithSpaces>10092</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2023-11-26T13:49:00Z</dcterms:created>
  <dc:creator>HP</dc:creator>
  <cp:lastModifiedBy>高与聪</cp:lastModifiedBy>
  <dcterms:modified xsi:type="dcterms:W3CDTF">2024-11-14T07:37:50Z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6AAF65CFAEBD4D7CA2EF59F72661EBD3_12</vt:lpwstr>
  </property>
</Properties>
</file>